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5A98" w:rsidRDefault="00835C90">
      <w:pPr>
        <w:pStyle w:val="nazev"/>
      </w:pPr>
      <w:r>
        <w:t>PRAVIDLA PRO ORGANIZACI STUDIA</w:t>
      </w:r>
      <w:r>
        <w:br/>
        <w:t>NA MATEMATICKO-FYZIKÁLNÍ FAKULTĚ</w:t>
      </w:r>
      <w:r>
        <w:br/>
        <w:t>UNIVERZITY KARLOVY</w:t>
      </w:r>
    </w:p>
    <w:p w:rsidR="00905A98" w:rsidRDefault="00835C90">
      <w:pPr>
        <w:pStyle w:val="Default"/>
        <w:spacing w:before="283" w:line="276" w:lineRule="auto"/>
        <w:jc w:val="center"/>
        <w:rPr>
          <w:lang w:val="cs-CZ"/>
        </w:rPr>
      </w:pPr>
      <w:r>
        <w:rPr>
          <w:rFonts w:eastAsia="Times New Roman" w:cs="Times New Roman"/>
          <w:lang w:val="cs-CZ"/>
        </w:rPr>
        <w:t xml:space="preserve"> </w:t>
      </w:r>
      <w:r>
        <w:rPr>
          <w:lang w:val="cs-CZ"/>
        </w:rPr>
        <w:t>ze dne 14. června 2017</w:t>
      </w:r>
    </w:p>
    <w:p w:rsidR="00905A98" w:rsidRDefault="00835C90">
      <w:pPr>
        <w:pStyle w:val="Default"/>
        <w:spacing w:before="340" w:after="454" w:line="276" w:lineRule="auto"/>
        <w:jc w:val="both"/>
        <w:rPr>
          <w:lang w:val="cs-CZ"/>
        </w:rPr>
      </w:pPr>
      <w:r>
        <w:rPr>
          <w:rFonts w:eastAsia="Times New Roman" w:cs="Times New Roman"/>
          <w:i/>
          <w:iCs/>
          <w:lang w:val="cs-CZ" w:eastAsia="cs-CZ"/>
        </w:rPr>
        <w:t>Akademický senát Matematicko-fyzikální fakulty Univerzity Karlovy se podle § 27 odst. 1 písm. b) a § 33 odst. 2 písm. f) zákona č. 111/1998 Sb., o vysokých školách a o změně a doplnění dalších zákonů (zákon o vysokých školách), ve znění pozdějších předpisů, a podle čl. 20 odst. 2 písm. c) Statutu Matematicko-fyzikální fakulty Univerzity Karlovy usnesl na těchto Pravidlech pro organizaci studia na Matematicko-fyzikální fakultě Univerzity Karlovy, jako jejím vnitřním předpisu:</w:t>
      </w:r>
    </w:p>
    <w:p w:rsidR="00905A98" w:rsidRDefault="00835C90">
      <w:pPr>
        <w:pStyle w:val="clanek"/>
        <w:rPr>
          <w:lang w:val="cs-CZ"/>
        </w:rPr>
      </w:pPr>
      <w:r>
        <w:rPr>
          <w:lang w:val="cs-CZ"/>
        </w:rPr>
        <w:t>Čl. 1</w:t>
      </w:r>
      <w:r>
        <w:rPr>
          <w:lang w:val="cs-CZ"/>
        </w:rPr>
        <w:br/>
        <w:t>Úvodní ustanovení</w:t>
      </w:r>
    </w:p>
    <w:p w:rsidR="00905A98" w:rsidRDefault="00835C90">
      <w:pPr>
        <w:spacing w:before="170" w:after="170"/>
        <w:jc w:val="both"/>
        <w:rPr>
          <w:rFonts w:hint="eastAsia"/>
          <w:lang w:val="cs-CZ"/>
        </w:rPr>
      </w:pPr>
      <w:r>
        <w:rPr>
          <w:rFonts w:ascii="Times New Roman" w:hAnsi="Times New Roman" w:cs="Times New Roman"/>
          <w:lang w:val="cs-CZ" w:eastAsia="cs-CZ"/>
        </w:rPr>
        <w:t>Tato Pravidla pro organizaci studia na Matematicko-fyzikální fakultě Univerzity Karlovy (dále jen „Pravidla“) stanoví podle čl. 19 odst. 2 a souvisejících ustanovení Studijního a zkušebního řádu Univerzity Karlovy (dále jen „Řád“ a „univerzita“) požadavky studijních programů uskutečňovaných na Matematicko-fyzikální fakultě Univerzity Karlovy (dále jen „fakulta“) a upravují podrobnosti o organizaci studia na fakultě.</w:t>
      </w:r>
    </w:p>
    <w:p w:rsidR="00905A98" w:rsidRDefault="00835C90">
      <w:pPr>
        <w:pStyle w:val="clanek"/>
        <w:rPr>
          <w:lang w:val="cs-CZ"/>
        </w:rPr>
      </w:pPr>
      <w:r>
        <w:rPr>
          <w:lang w:val="cs-CZ"/>
        </w:rPr>
        <w:t>Část I</w:t>
      </w:r>
      <w:r>
        <w:rPr>
          <w:lang w:val="cs-CZ"/>
        </w:rPr>
        <w:br/>
        <w:t>Požadavky bakalářských a magisterských studijních programů podle Řádu</w:t>
      </w:r>
    </w:p>
    <w:p w:rsidR="00905A98" w:rsidRDefault="00835C90">
      <w:pPr>
        <w:pStyle w:val="clanek"/>
        <w:rPr>
          <w:lang w:val="cs-CZ"/>
        </w:rPr>
      </w:pPr>
      <w:r>
        <w:rPr>
          <w:lang w:val="cs-CZ"/>
        </w:rPr>
        <w:t>Čl. 2</w:t>
      </w:r>
      <w:r>
        <w:rPr>
          <w:lang w:val="cs-CZ"/>
        </w:rPr>
        <w:br/>
        <w:t>Úseky studijních programů</w:t>
      </w:r>
      <w:r>
        <w:rPr>
          <w:lang w:val="cs-CZ"/>
        </w:rPr>
        <w:br/>
      </w:r>
      <w:r>
        <w:rPr>
          <w:b w:val="0"/>
          <w:lang w:val="cs-CZ"/>
        </w:rPr>
        <w:t>(K čl. 4 odst. 6 Řádu)</w:t>
      </w:r>
    </w:p>
    <w:p w:rsidR="00905A98" w:rsidRDefault="00835C90">
      <w:pPr>
        <w:numPr>
          <w:ilvl w:val="0"/>
          <w:numId w:val="1"/>
        </w:numPr>
        <w:spacing w:before="170" w:after="170"/>
        <w:jc w:val="both"/>
        <w:rPr>
          <w:rFonts w:hint="eastAsia"/>
          <w:lang w:val="cs-CZ"/>
        </w:rPr>
      </w:pPr>
      <w:r>
        <w:rPr>
          <w:rFonts w:ascii="Times New Roman" w:hAnsi="Times New Roman" w:cs="Times New Roman"/>
          <w:lang w:val="cs-CZ" w:eastAsia="cs-CZ"/>
        </w:rPr>
        <w:t>Ve všech bakalářských studijních programech uskutečňovaných na fakultě jsou prvními dvěma úseky studia semestry, dalšími úseky studia jsou ročníky.</w:t>
      </w:r>
    </w:p>
    <w:p w:rsidR="00905A98" w:rsidRDefault="00835C90">
      <w:pPr>
        <w:numPr>
          <w:ilvl w:val="0"/>
          <w:numId w:val="1"/>
        </w:numPr>
        <w:spacing w:before="170" w:after="170"/>
        <w:jc w:val="both"/>
        <w:rPr>
          <w:rFonts w:hint="eastAsia"/>
          <w:lang w:val="cs-CZ"/>
        </w:rPr>
      </w:pPr>
      <w:r>
        <w:rPr>
          <w:rFonts w:ascii="Times New Roman" w:hAnsi="Times New Roman" w:cs="Times New Roman"/>
          <w:lang w:val="cs-CZ" w:eastAsia="cs-CZ"/>
        </w:rPr>
        <w:t>Ve všech magisterských studijních programech uskutečňovaných na fakultě jsou úseky studia ročníky.</w:t>
      </w:r>
    </w:p>
    <w:p w:rsidR="00905A98" w:rsidRDefault="00835C90">
      <w:pPr>
        <w:pStyle w:val="clanek"/>
        <w:rPr>
          <w:lang w:val="cs-CZ"/>
        </w:rPr>
      </w:pPr>
      <w:r>
        <w:rPr>
          <w:lang w:val="cs-CZ"/>
        </w:rPr>
        <w:t>Čl. 3</w:t>
      </w:r>
      <w:r>
        <w:rPr>
          <w:lang w:val="cs-CZ"/>
        </w:rPr>
        <w:br/>
        <w:t>Minimální počty kreditů</w:t>
      </w:r>
      <w:r>
        <w:rPr>
          <w:lang w:val="cs-CZ"/>
        </w:rPr>
        <w:br/>
      </w:r>
      <w:r>
        <w:rPr>
          <w:b w:val="0"/>
          <w:lang w:val="cs-CZ"/>
        </w:rPr>
        <w:t>(K čl. 5 odst. 6 Řádu)</w:t>
      </w:r>
    </w:p>
    <w:p w:rsidR="00905A98" w:rsidRDefault="00835C90">
      <w:pPr>
        <w:numPr>
          <w:ilvl w:val="0"/>
          <w:numId w:val="2"/>
        </w:numPr>
        <w:spacing w:before="170" w:after="170"/>
        <w:jc w:val="both"/>
        <w:rPr>
          <w:rFonts w:hint="eastAsia"/>
          <w:lang w:val="cs-CZ"/>
        </w:rPr>
      </w:pPr>
      <w:r>
        <w:rPr>
          <w:rFonts w:ascii="Times New Roman" w:hAnsi="Times New Roman" w:cs="Times New Roman"/>
          <w:lang w:val="cs-CZ" w:eastAsia="cs-CZ"/>
        </w:rPr>
        <w:t>Minimální počty kreditů nutné pro zápis do dalšího úseku studia v bakalářských studijních programech jsou:</w:t>
      </w:r>
    </w:p>
    <w:p w:rsidR="00905A98" w:rsidRDefault="00835C90">
      <w:pPr>
        <w:numPr>
          <w:ilvl w:val="1"/>
          <w:numId w:val="2"/>
        </w:numPr>
        <w:spacing w:before="170" w:after="170"/>
        <w:jc w:val="both"/>
        <w:rPr>
          <w:rFonts w:hint="eastAsia"/>
          <w:lang w:val="cs-CZ"/>
        </w:rPr>
      </w:pPr>
      <w:r>
        <w:rPr>
          <w:rFonts w:ascii="Times New Roman" w:hAnsi="Times New Roman" w:cs="Times New Roman"/>
          <w:lang w:val="cs-CZ" w:eastAsia="cs-CZ"/>
        </w:rPr>
        <w:t>12 kreditů pro zápis do druhého úseku studia,</w:t>
      </w:r>
    </w:p>
    <w:p w:rsidR="00905A98" w:rsidRDefault="00835C90">
      <w:pPr>
        <w:numPr>
          <w:ilvl w:val="1"/>
          <w:numId w:val="2"/>
        </w:numPr>
        <w:spacing w:before="170" w:after="170"/>
        <w:jc w:val="both"/>
        <w:rPr>
          <w:rFonts w:hint="eastAsia"/>
          <w:lang w:val="cs-CZ"/>
        </w:rPr>
      </w:pPr>
      <w:r>
        <w:rPr>
          <w:rFonts w:ascii="Times New Roman" w:hAnsi="Times New Roman" w:cs="Times New Roman"/>
          <w:lang w:val="cs-CZ" w:eastAsia="cs-CZ"/>
        </w:rPr>
        <w:t>45 kreditů pro zápis do třetího úseku studia,</w:t>
      </w:r>
    </w:p>
    <w:p w:rsidR="00905A98" w:rsidRDefault="00835C90">
      <w:pPr>
        <w:numPr>
          <w:ilvl w:val="1"/>
          <w:numId w:val="2"/>
        </w:numPr>
        <w:spacing w:before="170" w:after="170"/>
        <w:jc w:val="both"/>
        <w:rPr>
          <w:rFonts w:hint="eastAsia"/>
          <w:lang w:val="cs-CZ"/>
        </w:rPr>
      </w:pPr>
      <w:r>
        <w:rPr>
          <w:rFonts w:ascii="Times New Roman" w:hAnsi="Times New Roman" w:cs="Times New Roman"/>
          <w:lang w:val="cs-CZ" w:eastAsia="cs-CZ"/>
        </w:rPr>
        <w:t>90 kreditů pro zápis do čtvrtého úseku studia,</w:t>
      </w:r>
    </w:p>
    <w:p w:rsidR="00905A98" w:rsidRDefault="00835C90">
      <w:pPr>
        <w:numPr>
          <w:ilvl w:val="1"/>
          <w:numId w:val="2"/>
        </w:numPr>
        <w:spacing w:before="170" w:after="170"/>
        <w:jc w:val="both"/>
        <w:rPr>
          <w:rFonts w:hint="eastAsia"/>
          <w:lang w:val="cs-CZ"/>
        </w:rPr>
      </w:pPr>
      <w:r>
        <w:rPr>
          <w:rFonts w:ascii="Times New Roman" w:hAnsi="Times New Roman" w:cs="Times New Roman"/>
          <w:lang w:val="cs-CZ" w:eastAsia="cs-CZ"/>
        </w:rPr>
        <w:lastRenderedPageBreak/>
        <w:t>135 kreditů pro zápis do pátého úseku studia,</w:t>
      </w:r>
    </w:p>
    <w:p w:rsidR="00905A98" w:rsidRDefault="00835C90">
      <w:pPr>
        <w:numPr>
          <w:ilvl w:val="1"/>
          <w:numId w:val="2"/>
        </w:numPr>
        <w:spacing w:before="170" w:after="170"/>
        <w:jc w:val="both"/>
        <w:rPr>
          <w:rFonts w:hint="eastAsia"/>
          <w:lang w:val="cs-CZ"/>
        </w:rPr>
      </w:pPr>
      <w:r>
        <w:rPr>
          <w:rFonts w:ascii="Times New Roman" w:hAnsi="Times New Roman" w:cs="Times New Roman"/>
          <w:lang w:val="cs-CZ" w:eastAsia="cs-CZ"/>
        </w:rPr>
        <w:t>180 kreditů pro zápis do šestého úseku studia,</w:t>
      </w:r>
    </w:p>
    <w:p w:rsidR="00905A98" w:rsidRDefault="00835C90">
      <w:pPr>
        <w:numPr>
          <w:ilvl w:val="1"/>
          <w:numId w:val="2"/>
        </w:numPr>
        <w:spacing w:before="170" w:after="170"/>
        <w:jc w:val="both"/>
        <w:rPr>
          <w:rFonts w:hint="eastAsia"/>
          <w:lang w:val="cs-CZ"/>
        </w:rPr>
      </w:pPr>
      <w:r>
        <w:rPr>
          <w:rFonts w:ascii="Times New Roman" w:hAnsi="Times New Roman" w:cs="Times New Roman"/>
          <w:lang w:val="cs-CZ" w:eastAsia="cs-CZ"/>
        </w:rPr>
        <w:t>225 kreditů pro zápis do sedmého úseku studia.</w:t>
      </w:r>
    </w:p>
    <w:p w:rsidR="00905A98" w:rsidRDefault="00835C90">
      <w:pPr>
        <w:numPr>
          <w:ilvl w:val="0"/>
          <w:numId w:val="2"/>
        </w:numPr>
        <w:spacing w:before="170" w:after="170"/>
        <w:jc w:val="both"/>
        <w:rPr>
          <w:rFonts w:hint="eastAsia"/>
          <w:lang w:val="cs-CZ"/>
        </w:rPr>
      </w:pPr>
      <w:r>
        <w:rPr>
          <w:rFonts w:ascii="Times New Roman" w:hAnsi="Times New Roman" w:cs="Times New Roman"/>
          <w:lang w:val="cs-CZ" w:eastAsia="cs-CZ"/>
        </w:rPr>
        <w:t>Minimální počty kreditů nutné pro zápis do dalšího úseku studia v magisterských studijních programech jsou:</w:t>
      </w:r>
    </w:p>
    <w:p w:rsidR="00905A98" w:rsidRDefault="00835C90">
      <w:pPr>
        <w:numPr>
          <w:ilvl w:val="1"/>
          <w:numId w:val="2"/>
        </w:numPr>
        <w:spacing w:before="170" w:after="170"/>
        <w:jc w:val="both"/>
        <w:rPr>
          <w:rFonts w:hint="eastAsia"/>
          <w:lang w:val="cs-CZ"/>
        </w:rPr>
      </w:pPr>
      <w:r>
        <w:rPr>
          <w:rFonts w:ascii="Times New Roman" w:hAnsi="Times New Roman" w:cs="Times New Roman"/>
          <w:lang w:val="cs-CZ" w:eastAsia="cs-CZ"/>
        </w:rPr>
        <w:t>45 kreditů pro zápis do druhého úseku studia,</w:t>
      </w:r>
    </w:p>
    <w:p w:rsidR="00905A98" w:rsidRDefault="00835C90">
      <w:pPr>
        <w:numPr>
          <w:ilvl w:val="1"/>
          <w:numId w:val="2"/>
        </w:numPr>
        <w:spacing w:before="170" w:after="170"/>
        <w:jc w:val="both"/>
        <w:rPr>
          <w:rFonts w:hint="eastAsia"/>
          <w:lang w:val="cs-CZ"/>
        </w:rPr>
      </w:pPr>
      <w:r>
        <w:rPr>
          <w:rFonts w:ascii="Times New Roman" w:hAnsi="Times New Roman" w:cs="Times New Roman"/>
          <w:lang w:val="cs-CZ" w:eastAsia="cs-CZ"/>
        </w:rPr>
        <w:t>90 kreditů pro zápis do třetího úseku studia,</w:t>
      </w:r>
    </w:p>
    <w:p w:rsidR="00905A98" w:rsidRDefault="00835C90">
      <w:pPr>
        <w:numPr>
          <w:ilvl w:val="1"/>
          <w:numId w:val="2"/>
        </w:numPr>
        <w:spacing w:before="170" w:after="170"/>
        <w:jc w:val="both"/>
        <w:rPr>
          <w:rFonts w:hint="eastAsia"/>
          <w:lang w:val="cs-CZ"/>
        </w:rPr>
      </w:pPr>
      <w:r>
        <w:rPr>
          <w:rFonts w:ascii="Times New Roman" w:hAnsi="Times New Roman" w:cs="Times New Roman"/>
          <w:lang w:val="cs-CZ" w:eastAsia="cs-CZ"/>
        </w:rPr>
        <w:t>135 kreditů pro zápis do čtvrtého úseku studia,</w:t>
      </w:r>
    </w:p>
    <w:p w:rsidR="00905A98" w:rsidRDefault="00835C90">
      <w:pPr>
        <w:numPr>
          <w:ilvl w:val="1"/>
          <w:numId w:val="2"/>
        </w:numPr>
        <w:spacing w:before="170" w:after="170"/>
        <w:jc w:val="both"/>
        <w:rPr>
          <w:rFonts w:hint="eastAsia"/>
          <w:lang w:val="cs-CZ"/>
        </w:rPr>
      </w:pPr>
      <w:r>
        <w:rPr>
          <w:rFonts w:ascii="Times New Roman" w:hAnsi="Times New Roman" w:cs="Times New Roman"/>
          <w:lang w:val="cs-CZ" w:eastAsia="cs-CZ"/>
        </w:rPr>
        <w:t>180 kreditů pro zápis do pátého úseku studia.</w:t>
      </w:r>
    </w:p>
    <w:p w:rsidR="00905A98" w:rsidRDefault="00835C90">
      <w:pPr>
        <w:pStyle w:val="clanek"/>
        <w:rPr>
          <w:lang w:val="cs-CZ"/>
        </w:rPr>
      </w:pPr>
      <w:r>
        <w:rPr>
          <w:lang w:val="cs-CZ"/>
        </w:rPr>
        <w:t>Čl. 4</w:t>
      </w:r>
      <w:r>
        <w:rPr>
          <w:lang w:val="cs-CZ"/>
        </w:rPr>
        <w:br/>
        <w:t>Podíl kreditů za volitelné předměty pro průběžnou kontrolu studia</w:t>
      </w:r>
      <w:r>
        <w:rPr>
          <w:lang w:val="cs-CZ"/>
        </w:rPr>
        <w:br/>
      </w:r>
      <w:r>
        <w:rPr>
          <w:b w:val="0"/>
          <w:lang w:val="cs-CZ"/>
        </w:rPr>
        <w:t>(K čl. 5 odst. 8 Řádu)</w:t>
      </w:r>
    </w:p>
    <w:p w:rsidR="00905A98" w:rsidRDefault="00835C90">
      <w:pPr>
        <w:numPr>
          <w:ilvl w:val="0"/>
          <w:numId w:val="3"/>
        </w:numPr>
        <w:spacing w:before="170" w:after="170"/>
        <w:jc w:val="both"/>
        <w:rPr>
          <w:rFonts w:hint="eastAsia"/>
          <w:lang w:val="cs-CZ"/>
        </w:rPr>
      </w:pPr>
      <w:r>
        <w:rPr>
          <w:rFonts w:ascii="Times New Roman" w:hAnsi="Times New Roman" w:cs="Times New Roman"/>
          <w:lang w:val="cs-CZ" w:eastAsia="cs-CZ"/>
        </w:rPr>
        <w:t>V bakalářských studijních programech tvoří podíl počtu kreditů získaných studentem za absolvování volitelných předmětů vůči počtu kreditů specifikovanému v čl. 5 odst. 5 Řádu (normální počet kreditů) příslušnému dané průběžné kontrole studia maximálně:</w:t>
      </w:r>
    </w:p>
    <w:p w:rsidR="00905A98" w:rsidRDefault="00835C90">
      <w:pPr>
        <w:numPr>
          <w:ilvl w:val="1"/>
          <w:numId w:val="3"/>
        </w:numPr>
        <w:spacing w:before="170" w:after="170"/>
        <w:jc w:val="both"/>
        <w:rPr>
          <w:rFonts w:hint="eastAsia"/>
          <w:lang w:val="cs-CZ"/>
        </w:rPr>
      </w:pPr>
      <w:r>
        <w:rPr>
          <w:rFonts w:ascii="Times New Roman" w:hAnsi="Times New Roman" w:cs="Times New Roman"/>
          <w:lang w:val="cs-CZ" w:eastAsia="cs-CZ"/>
        </w:rPr>
        <w:t>15 % po prvním až třetím úseku studia,</w:t>
      </w:r>
    </w:p>
    <w:p w:rsidR="00905A98" w:rsidRDefault="00835C90">
      <w:pPr>
        <w:numPr>
          <w:ilvl w:val="1"/>
          <w:numId w:val="3"/>
        </w:numPr>
        <w:spacing w:before="170" w:after="170"/>
        <w:jc w:val="both"/>
        <w:rPr>
          <w:rFonts w:hint="eastAsia"/>
          <w:lang w:val="cs-CZ"/>
        </w:rPr>
      </w:pPr>
      <w:r>
        <w:rPr>
          <w:rFonts w:ascii="Times New Roman" w:hAnsi="Times New Roman" w:cs="Times New Roman"/>
          <w:lang w:val="cs-CZ" w:eastAsia="cs-CZ"/>
        </w:rPr>
        <w:t>30 % po čtvrtém až šestém úseku studia;</w:t>
      </w:r>
    </w:p>
    <w:p w:rsidR="00905A98" w:rsidRDefault="00835C90">
      <w:pPr>
        <w:spacing w:before="170" w:after="170"/>
        <w:ind w:left="720"/>
        <w:jc w:val="both"/>
        <w:rPr>
          <w:rFonts w:hint="eastAsia"/>
          <w:lang w:val="cs-CZ"/>
        </w:rPr>
      </w:pPr>
      <w:r>
        <w:rPr>
          <w:rFonts w:ascii="Times New Roman" w:hAnsi="Times New Roman" w:cs="Times New Roman"/>
          <w:lang w:val="cs-CZ" w:eastAsia="cs-CZ"/>
        </w:rPr>
        <w:t>o započítání volitelných předmětů pro účely průběžné kontroly nad uvedený podíl rozhoduje děkan.</w:t>
      </w:r>
    </w:p>
    <w:p w:rsidR="00905A98" w:rsidRDefault="00835C90">
      <w:pPr>
        <w:numPr>
          <w:ilvl w:val="0"/>
          <w:numId w:val="3"/>
        </w:numPr>
        <w:spacing w:before="170" w:after="170"/>
        <w:jc w:val="both"/>
        <w:rPr>
          <w:rFonts w:hint="eastAsia"/>
          <w:lang w:val="cs-CZ"/>
        </w:rPr>
      </w:pPr>
      <w:r>
        <w:rPr>
          <w:rFonts w:ascii="Times New Roman" w:hAnsi="Times New Roman" w:cs="Times New Roman"/>
          <w:lang w:val="cs-CZ" w:eastAsia="cs-CZ"/>
        </w:rPr>
        <w:t>V magisterských studijních programech tvoří podíl počtu kreditů získaných studentem za absolvování volitelných předmětů vůči normálnímu počtu kreditů příslušnému dané průběžné kontrole studia maximálně:</w:t>
      </w:r>
    </w:p>
    <w:p w:rsidR="00905A98" w:rsidRDefault="00835C90">
      <w:pPr>
        <w:numPr>
          <w:ilvl w:val="1"/>
          <w:numId w:val="3"/>
        </w:numPr>
        <w:spacing w:before="170" w:after="170"/>
        <w:jc w:val="both"/>
        <w:rPr>
          <w:rFonts w:hint="eastAsia"/>
          <w:lang w:val="cs-CZ"/>
        </w:rPr>
      </w:pPr>
      <w:r>
        <w:rPr>
          <w:rFonts w:ascii="Times New Roman" w:hAnsi="Times New Roman" w:cs="Times New Roman"/>
          <w:lang w:val="cs-CZ" w:eastAsia="cs-CZ"/>
        </w:rPr>
        <w:t>30 % po prvním úseku studia,</w:t>
      </w:r>
    </w:p>
    <w:p w:rsidR="00905A98" w:rsidRDefault="00835C90">
      <w:pPr>
        <w:numPr>
          <w:ilvl w:val="1"/>
          <w:numId w:val="3"/>
        </w:numPr>
        <w:spacing w:before="170" w:after="170"/>
        <w:jc w:val="both"/>
        <w:rPr>
          <w:rFonts w:hint="eastAsia"/>
          <w:lang w:val="cs-CZ"/>
        </w:rPr>
      </w:pPr>
      <w:r>
        <w:rPr>
          <w:rFonts w:ascii="Times New Roman" w:hAnsi="Times New Roman" w:cs="Times New Roman"/>
          <w:lang w:val="cs-CZ" w:eastAsia="cs-CZ"/>
        </w:rPr>
        <w:t>50 % po druhém úseku studia,</w:t>
      </w:r>
    </w:p>
    <w:p w:rsidR="00905A98" w:rsidRDefault="00835C90">
      <w:pPr>
        <w:numPr>
          <w:ilvl w:val="1"/>
          <w:numId w:val="3"/>
        </w:numPr>
        <w:spacing w:before="170" w:after="170"/>
        <w:jc w:val="both"/>
        <w:rPr>
          <w:rFonts w:hint="eastAsia"/>
          <w:lang w:val="cs-CZ"/>
        </w:rPr>
      </w:pPr>
      <w:r>
        <w:rPr>
          <w:rFonts w:ascii="Times New Roman" w:hAnsi="Times New Roman" w:cs="Times New Roman"/>
          <w:lang w:val="cs-CZ" w:eastAsia="cs-CZ"/>
        </w:rPr>
        <w:t>70 % po třetím a čtvrtém úseku studia;</w:t>
      </w:r>
    </w:p>
    <w:p w:rsidR="00905A98" w:rsidRDefault="00835C90">
      <w:pPr>
        <w:spacing w:before="170" w:after="170"/>
        <w:ind w:left="720"/>
        <w:jc w:val="both"/>
        <w:rPr>
          <w:rFonts w:hint="eastAsia"/>
          <w:lang w:val="cs-CZ"/>
        </w:rPr>
      </w:pPr>
      <w:r>
        <w:rPr>
          <w:rFonts w:ascii="Times New Roman" w:hAnsi="Times New Roman" w:cs="Times New Roman"/>
          <w:lang w:val="cs-CZ" w:eastAsia="cs-CZ"/>
        </w:rPr>
        <w:t>o započítání volitelných předmětů pro účely průběžné kontroly nad uvedený podíl rozhoduje děkan.</w:t>
      </w:r>
    </w:p>
    <w:p w:rsidR="00905A98" w:rsidRDefault="00835C90">
      <w:pPr>
        <w:pStyle w:val="clanek"/>
        <w:rPr>
          <w:lang w:val="cs-CZ"/>
        </w:rPr>
      </w:pPr>
      <w:r>
        <w:rPr>
          <w:lang w:val="cs-CZ"/>
        </w:rPr>
        <w:t>Čl. 5</w:t>
      </w:r>
      <w:r>
        <w:rPr>
          <w:lang w:val="cs-CZ"/>
        </w:rPr>
        <w:br/>
        <w:t>Individuální studijní plán</w:t>
      </w:r>
    </w:p>
    <w:p w:rsidR="00905A98" w:rsidRDefault="00835C90">
      <w:pPr>
        <w:spacing w:before="170" w:after="170"/>
        <w:jc w:val="both"/>
        <w:rPr>
          <w:rFonts w:hint="eastAsia"/>
          <w:lang w:val="cs-CZ"/>
        </w:rPr>
      </w:pPr>
      <w:r>
        <w:rPr>
          <w:rFonts w:ascii="Times New Roman" w:hAnsi="Times New Roman" w:cs="Times New Roman"/>
          <w:lang w:val="cs-CZ" w:eastAsia="cs-CZ"/>
        </w:rPr>
        <w:t>Zvláštním případem žádosti o individuální studijní plán je žádost studenta 1. ročníku magisterského studijního programu za účelem doplnění chybějících znalostí pokrytých přednáškami některého bakalářského studijního programu na fakultě, a to žádost podaná k začátku jeho studia na doporučení garanta odpovídajícího studijního programu. Přílohou takové žádosti je návrh individuálního studijního plánu připravený garantem odpovídajícího studijního programu. Takové žádosti děkan zpravidla vyhoví.</w:t>
      </w:r>
    </w:p>
    <w:p w:rsidR="00905A98" w:rsidRDefault="00835C90">
      <w:pPr>
        <w:pStyle w:val="clanek"/>
        <w:rPr>
          <w:lang w:val="cs-CZ"/>
        </w:rPr>
      </w:pPr>
      <w:r>
        <w:rPr>
          <w:lang w:val="cs-CZ"/>
        </w:rPr>
        <w:lastRenderedPageBreak/>
        <w:t>Čl. 6</w:t>
      </w:r>
      <w:r>
        <w:rPr>
          <w:lang w:val="cs-CZ"/>
        </w:rPr>
        <w:br/>
        <w:t>Právo na zápis a zrušení zápisu předmětu</w:t>
      </w:r>
      <w:r>
        <w:rPr>
          <w:lang w:val="cs-CZ"/>
        </w:rPr>
        <w:br/>
      </w:r>
      <w:r>
        <w:rPr>
          <w:b w:val="0"/>
          <w:lang w:val="cs-CZ"/>
        </w:rPr>
        <w:t>(K čl. 7 odst. 2 Řádu)</w:t>
      </w:r>
    </w:p>
    <w:p w:rsidR="00905A98" w:rsidRDefault="00835C90">
      <w:pPr>
        <w:numPr>
          <w:ilvl w:val="0"/>
          <w:numId w:val="4"/>
        </w:numPr>
        <w:spacing w:before="170" w:after="170"/>
        <w:jc w:val="both"/>
        <w:rPr>
          <w:rFonts w:hint="eastAsia"/>
          <w:lang w:val="cs-CZ"/>
        </w:rPr>
      </w:pPr>
      <w:r>
        <w:rPr>
          <w:rFonts w:ascii="Times New Roman" w:hAnsi="Times New Roman" w:cs="Times New Roman"/>
          <w:lang w:val="cs-CZ" w:eastAsia="cs-CZ"/>
        </w:rPr>
        <w:t>Právo studenta zapsat si předmět vyučovaný na fakultě je omezeno:</w:t>
      </w:r>
    </w:p>
    <w:p w:rsidR="00905A98" w:rsidRDefault="00835C90">
      <w:pPr>
        <w:numPr>
          <w:ilvl w:val="1"/>
          <w:numId w:val="4"/>
        </w:numPr>
        <w:spacing w:before="170" w:after="170"/>
        <w:jc w:val="both"/>
        <w:rPr>
          <w:rFonts w:hint="eastAsia"/>
          <w:lang w:val="cs-CZ"/>
        </w:rPr>
      </w:pPr>
      <w:r>
        <w:rPr>
          <w:rFonts w:ascii="Times New Roman" w:hAnsi="Times New Roman" w:cs="Times New Roman"/>
          <w:lang w:val="cs-CZ" w:eastAsia="cs-CZ"/>
        </w:rPr>
        <w:t>studijním plánem studijního programu uskutečňovaného na fakultě, pokud tento u daného předmětu, který je uveden jako povinný nebo povinně volitelný, zápis předmětu podmiňuje způsobem uvedeným v čl. 7 odst. 5 písm. a) Řádu (</w:t>
      </w:r>
      <w:proofErr w:type="spellStart"/>
      <w:r>
        <w:rPr>
          <w:rFonts w:ascii="Times New Roman" w:hAnsi="Times New Roman" w:cs="Times New Roman"/>
          <w:lang w:val="cs-CZ" w:eastAsia="cs-CZ"/>
        </w:rPr>
        <w:t>prerekvizity</w:t>
      </w:r>
      <w:proofErr w:type="spellEnd"/>
      <w:r>
        <w:rPr>
          <w:rFonts w:ascii="Times New Roman" w:hAnsi="Times New Roman" w:cs="Times New Roman"/>
          <w:lang w:val="cs-CZ" w:eastAsia="cs-CZ"/>
        </w:rPr>
        <w:t xml:space="preserve"> nebo </w:t>
      </w:r>
      <w:proofErr w:type="spellStart"/>
      <w:r>
        <w:rPr>
          <w:rFonts w:ascii="Times New Roman" w:hAnsi="Times New Roman" w:cs="Times New Roman"/>
          <w:lang w:val="cs-CZ" w:eastAsia="cs-CZ"/>
        </w:rPr>
        <w:t>korekvizity</w:t>
      </w:r>
      <w:proofErr w:type="spellEnd"/>
      <w:r>
        <w:rPr>
          <w:rFonts w:ascii="Times New Roman" w:hAnsi="Times New Roman" w:cs="Times New Roman"/>
          <w:lang w:val="cs-CZ" w:eastAsia="cs-CZ"/>
        </w:rPr>
        <w:t>) nebo vylučuje podle čl. 7 odst. 5 písm. c) nebo e) Řádu (neslučitelnost),</w:t>
      </w:r>
    </w:p>
    <w:p w:rsidR="00905A98" w:rsidRDefault="00835C90">
      <w:pPr>
        <w:numPr>
          <w:ilvl w:val="1"/>
          <w:numId w:val="4"/>
        </w:numPr>
        <w:spacing w:before="170" w:after="170"/>
        <w:jc w:val="both"/>
        <w:rPr>
          <w:rFonts w:hint="eastAsia"/>
          <w:lang w:val="cs-CZ"/>
        </w:rPr>
      </w:pPr>
      <w:r>
        <w:rPr>
          <w:rFonts w:ascii="Times New Roman" w:hAnsi="Times New Roman" w:cs="Times New Roman"/>
          <w:lang w:val="cs-CZ" w:eastAsia="cs-CZ"/>
        </w:rPr>
        <w:t>kapacitními důvody podle čl. 7 odst. 8 Řádu; v takovém případě mají přednost při zápisu daného předmětu studenti, kteří si ho zapisují v souladu s doporučeným průběhem studia; podrobnosti může stanovit opatření děkana,</w:t>
      </w:r>
    </w:p>
    <w:p w:rsidR="00905A98" w:rsidRDefault="00835C90">
      <w:pPr>
        <w:numPr>
          <w:ilvl w:val="1"/>
          <w:numId w:val="4"/>
        </w:numPr>
        <w:spacing w:before="170" w:after="170"/>
        <w:jc w:val="both"/>
        <w:rPr>
          <w:rFonts w:hint="eastAsia"/>
          <w:lang w:val="cs-CZ"/>
        </w:rPr>
      </w:pPr>
      <w:r>
        <w:rPr>
          <w:rFonts w:ascii="Times New Roman" w:hAnsi="Times New Roman" w:cs="Times New Roman"/>
          <w:lang w:val="cs-CZ" w:eastAsia="cs-CZ"/>
        </w:rPr>
        <w:t>nevyučováním předmětu v daném semestru.</w:t>
      </w:r>
    </w:p>
    <w:p w:rsidR="00905A98" w:rsidRDefault="00835C90">
      <w:pPr>
        <w:numPr>
          <w:ilvl w:val="0"/>
          <w:numId w:val="4"/>
        </w:numPr>
        <w:spacing w:before="170" w:after="170"/>
        <w:jc w:val="both"/>
        <w:rPr>
          <w:rFonts w:hint="eastAsia"/>
          <w:lang w:val="cs-CZ"/>
        </w:rPr>
      </w:pPr>
      <w:r>
        <w:rPr>
          <w:rFonts w:ascii="Times New Roman" w:hAnsi="Times New Roman" w:cs="Times New Roman"/>
          <w:lang w:val="cs-CZ" w:eastAsia="cs-CZ"/>
        </w:rPr>
        <w:t>Zápis předmětu lze zrušit či nahradit na základě žádosti studenta. Této žádosti se vyhoví vždy, pokud student neučinil pokus o plnění některé z forem kontroly studia tohoto předmětu. V opačném případě lze žádosti vyhovět jen výjimečně a v odůvodněných případech. Zápis předmětu se zruší též v případě, že předmět není vyučován.</w:t>
      </w:r>
    </w:p>
    <w:p w:rsidR="00905A98" w:rsidRDefault="00835C90">
      <w:pPr>
        <w:pStyle w:val="clanek"/>
        <w:rPr>
          <w:lang w:val="cs-CZ"/>
        </w:rPr>
      </w:pPr>
      <w:r>
        <w:rPr>
          <w:lang w:val="cs-CZ"/>
        </w:rPr>
        <w:t>Čl. 7</w:t>
      </w:r>
      <w:r>
        <w:rPr>
          <w:lang w:val="cs-CZ"/>
        </w:rPr>
        <w:br/>
        <w:t>Opakovaný zápis předmětu</w:t>
      </w:r>
      <w:r>
        <w:rPr>
          <w:lang w:val="cs-CZ"/>
        </w:rPr>
        <w:br/>
      </w:r>
      <w:r>
        <w:rPr>
          <w:b w:val="0"/>
          <w:lang w:val="cs-CZ"/>
        </w:rPr>
        <w:t>(K čl. 7 odst. 9 Řádu)</w:t>
      </w:r>
    </w:p>
    <w:p w:rsidR="00905A98" w:rsidRDefault="00E05369">
      <w:pPr>
        <w:numPr>
          <w:ilvl w:val="0"/>
          <w:numId w:val="5"/>
        </w:numPr>
        <w:spacing w:before="170" w:after="170"/>
        <w:jc w:val="both"/>
        <w:rPr>
          <w:rFonts w:hint="eastAsia"/>
          <w:lang w:val="cs-CZ"/>
        </w:rPr>
      </w:pPr>
      <w:r>
        <w:rPr>
          <w:rFonts w:ascii="Times New Roman" w:hAnsi="Times New Roman" w:cs="Times New Roman"/>
          <w:lang w:val="cs-CZ" w:eastAsia="cs-CZ"/>
        </w:rPr>
        <w:t>Pokud není ve studijním informačním systému UK (dále jen SIS) výslovně stanoveno</w:t>
      </w:r>
      <w:r w:rsidR="00835C90">
        <w:rPr>
          <w:rFonts w:ascii="Times New Roman" w:hAnsi="Times New Roman" w:cs="Times New Roman"/>
          <w:lang w:val="cs-CZ" w:eastAsia="cs-CZ"/>
        </w:rPr>
        <w:t xml:space="preserve"> jinak, student si nemůže zapsat předmět, pokud již v předchozích letech v témže studiu tento předmět nebo předmět, který je s ním neslučitelný (vyloučení zápisu dle čl. 7 odst. 5 písm. e) Řádu) podle studijního plánu, absolvoval.</w:t>
      </w:r>
    </w:p>
    <w:p w:rsidR="00905A98" w:rsidRDefault="00835C90">
      <w:pPr>
        <w:numPr>
          <w:ilvl w:val="0"/>
          <w:numId w:val="5"/>
        </w:numPr>
        <w:spacing w:before="170" w:after="170"/>
        <w:jc w:val="both"/>
        <w:rPr>
          <w:rFonts w:hint="eastAsia"/>
          <w:lang w:val="cs-CZ"/>
        </w:rPr>
      </w:pPr>
      <w:r>
        <w:rPr>
          <w:rFonts w:ascii="Times New Roman" w:hAnsi="Times New Roman" w:cs="Times New Roman"/>
          <w:lang w:val="cs-CZ" w:eastAsia="cs-CZ"/>
        </w:rPr>
        <w:t xml:space="preserve">Pokud není </w:t>
      </w:r>
      <w:proofErr w:type="gramStart"/>
      <w:r>
        <w:rPr>
          <w:rFonts w:ascii="Times New Roman" w:hAnsi="Times New Roman" w:cs="Times New Roman"/>
          <w:lang w:val="cs-CZ" w:eastAsia="cs-CZ"/>
        </w:rPr>
        <w:t>ve</w:t>
      </w:r>
      <w:proofErr w:type="gramEnd"/>
      <w:r>
        <w:rPr>
          <w:rFonts w:ascii="Times New Roman" w:hAnsi="Times New Roman" w:cs="Times New Roman"/>
          <w:lang w:val="cs-CZ" w:eastAsia="cs-CZ"/>
        </w:rPr>
        <w:t xml:space="preserve"> </w:t>
      </w:r>
      <w:r w:rsidR="00E05369">
        <w:rPr>
          <w:rFonts w:ascii="Times New Roman" w:hAnsi="Times New Roman" w:cs="Times New Roman"/>
          <w:lang w:val="cs-CZ" w:eastAsia="cs-CZ"/>
        </w:rPr>
        <w:t>SIS</w:t>
      </w:r>
      <w:r>
        <w:rPr>
          <w:rFonts w:ascii="Times New Roman" w:hAnsi="Times New Roman" w:cs="Times New Roman"/>
          <w:lang w:val="cs-CZ" w:eastAsia="cs-CZ"/>
        </w:rPr>
        <w:t xml:space="preserve"> výslovně stanoveno jinak, student si v jednom úseku studia nemůže zapsat jeden předmět vícekrát.</w:t>
      </w:r>
    </w:p>
    <w:p w:rsidR="00905A98" w:rsidRDefault="00835C90">
      <w:pPr>
        <w:numPr>
          <w:ilvl w:val="0"/>
          <w:numId w:val="5"/>
        </w:numPr>
        <w:spacing w:before="170" w:after="170"/>
        <w:jc w:val="both"/>
        <w:rPr>
          <w:rFonts w:hint="eastAsia"/>
          <w:lang w:val="cs-CZ"/>
        </w:rPr>
      </w:pPr>
      <w:r>
        <w:rPr>
          <w:rFonts w:ascii="Times New Roman" w:hAnsi="Times New Roman" w:cs="Times New Roman"/>
          <w:lang w:val="cs-CZ" w:eastAsia="cs-CZ"/>
        </w:rPr>
        <w:t xml:space="preserve">Nepodaří-li se studentovi úspěšně splnit kontrolu studia zapsaného předmětu, může si předmět zapsat znovu, pokud celkový počet zápisů tohoto předmětu a předmětů s ním záměnných (dle čl. 7 odst. 5 písm. f) Řádu) nepřesáhne dva. Toto ustanovení se nevztahuje na předměty definované v SIS jako opakovaně </w:t>
      </w:r>
      <w:proofErr w:type="spellStart"/>
      <w:r>
        <w:rPr>
          <w:rFonts w:ascii="Times New Roman" w:hAnsi="Times New Roman" w:cs="Times New Roman"/>
          <w:lang w:val="cs-CZ" w:eastAsia="cs-CZ"/>
        </w:rPr>
        <w:t>zapisovatelné</w:t>
      </w:r>
      <w:proofErr w:type="spellEnd"/>
      <w:r>
        <w:rPr>
          <w:rFonts w:ascii="Times New Roman" w:hAnsi="Times New Roman" w:cs="Times New Roman"/>
          <w:lang w:val="cs-CZ" w:eastAsia="cs-CZ"/>
        </w:rPr>
        <w:t>.</w:t>
      </w:r>
    </w:p>
    <w:p w:rsidR="00905A98" w:rsidRDefault="00835C90">
      <w:pPr>
        <w:pStyle w:val="clanek"/>
        <w:rPr>
          <w:lang w:val="cs-CZ"/>
        </w:rPr>
      </w:pPr>
      <w:r>
        <w:rPr>
          <w:lang w:val="cs-CZ"/>
        </w:rPr>
        <w:t>Čl. 8</w:t>
      </w:r>
      <w:r>
        <w:rPr>
          <w:lang w:val="cs-CZ"/>
        </w:rPr>
        <w:br/>
        <w:t>Zápočet a klasifikovaný zápočet</w:t>
      </w:r>
      <w:r>
        <w:rPr>
          <w:lang w:val="cs-CZ"/>
        </w:rPr>
        <w:br/>
      </w:r>
      <w:r>
        <w:rPr>
          <w:b w:val="0"/>
          <w:lang w:val="cs-CZ"/>
        </w:rPr>
        <w:t>(K čl. 8 odst. 4 a 7 Řádu)</w:t>
      </w:r>
    </w:p>
    <w:p w:rsidR="00905A98" w:rsidRDefault="00835C90">
      <w:pPr>
        <w:numPr>
          <w:ilvl w:val="0"/>
          <w:numId w:val="6"/>
        </w:numPr>
        <w:spacing w:before="170" w:after="170"/>
        <w:jc w:val="both"/>
        <w:rPr>
          <w:rFonts w:hint="eastAsia"/>
          <w:lang w:val="cs-CZ"/>
        </w:rPr>
      </w:pPr>
      <w:r>
        <w:rPr>
          <w:rFonts w:ascii="Times New Roman" w:hAnsi="Times New Roman" w:cs="Times New Roman"/>
          <w:lang w:val="cs-CZ" w:eastAsia="cs-CZ"/>
        </w:rPr>
        <w:t>Podmínky pro získání zápočtu nebo klasifikovaného zápočtu stanoví vyučující po schválení garantem předmětu. Podmínkou může být účast na výuce, úspěšné absolvování testů (vstupních, průběžných, závěrečných), předložení protokolů nebo písemné zprávy, plnění úkolů v termínech, aktivní účast při výuce, odladění programu, přednesení referátu apod. Podrobnosti a lhůty pro stanovení těchto podmínek stanoví opatření děkana.</w:t>
      </w:r>
    </w:p>
    <w:p w:rsidR="00905A98" w:rsidRDefault="00835C90">
      <w:pPr>
        <w:numPr>
          <w:ilvl w:val="0"/>
          <w:numId w:val="6"/>
        </w:numPr>
        <w:spacing w:before="170" w:after="170"/>
        <w:jc w:val="both"/>
        <w:rPr>
          <w:rFonts w:hint="eastAsia"/>
          <w:lang w:val="cs-CZ"/>
        </w:rPr>
      </w:pPr>
      <w:r>
        <w:rPr>
          <w:rFonts w:ascii="Times New Roman" w:hAnsi="Times New Roman" w:cs="Times New Roman"/>
          <w:lang w:val="cs-CZ" w:eastAsia="cs-CZ"/>
        </w:rPr>
        <w:t xml:space="preserve">Jestliže to nevylučuje povaha kontroly studia předmětu, má student právo na jeden řádný a dva opravné termíny. V opačném případě je počet opravných termínů nula. Vyučující </w:t>
      </w:r>
      <w:r>
        <w:rPr>
          <w:rFonts w:ascii="Times New Roman" w:hAnsi="Times New Roman" w:cs="Times New Roman"/>
          <w:lang w:val="cs-CZ" w:eastAsia="cs-CZ"/>
        </w:rPr>
        <w:lastRenderedPageBreak/>
        <w:t>může se souhlasem garanta předmětu v termínu stanoveném opatřením děkana dle odstavce 1, nejpozději však na začátku semestru, stanovit vyšší počet opravných termínů; tento počet se nejpozději na začátku semestru zveřejní prostřednictvím SIS.</w:t>
      </w:r>
    </w:p>
    <w:p w:rsidR="00905A98" w:rsidRDefault="00835C90">
      <w:pPr>
        <w:numPr>
          <w:ilvl w:val="0"/>
          <w:numId w:val="6"/>
        </w:numPr>
        <w:spacing w:before="170" w:after="170"/>
        <w:jc w:val="both"/>
        <w:rPr>
          <w:rFonts w:hint="eastAsia"/>
          <w:lang w:val="cs-CZ"/>
        </w:rPr>
      </w:pPr>
      <w:r>
        <w:rPr>
          <w:rFonts w:ascii="Times New Roman" w:hAnsi="Times New Roman" w:cs="Times New Roman"/>
          <w:lang w:val="cs-CZ" w:eastAsia="cs-CZ"/>
        </w:rPr>
        <w:t>Je-li pro absolvování předmětu předepsán zápočet i zkouška, není získání zápočtu podmínkou pro konání zkoušky z daného předmětu, pokud garant předmětu nestanoví na začátku semestru v SIS jinak.</w:t>
      </w:r>
    </w:p>
    <w:p w:rsidR="00905A98" w:rsidRDefault="00835C90">
      <w:pPr>
        <w:pStyle w:val="clanek"/>
        <w:rPr>
          <w:lang w:val="cs-CZ"/>
        </w:rPr>
      </w:pPr>
      <w:r>
        <w:rPr>
          <w:lang w:val="cs-CZ"/>
        </w:rPr>
        <w:t>Čl. 9</w:t>
      </w:r>
      <w:r>
        <w:rPr>
          <w:lang w:val="cs-CZ"/>
        </w:rPr>
        <w:br/>
        <w:t>Zpřístupnění výsledků písemných forem kontroly studia</w:t>
      </w:r>
      <w:r>
        <w:rPr>
          <w:lang w:val="cs-CZ"/>
        </w:rPr>
        <w:br/>
      </w:r>
      <w:r>
        <w:rPr>
          <w:b w:val="0"/>
          <w:lang w:val="cs-CZ"/>
        </w:rPr>
        <w:t>(K čl. 8 odst. 10 Řádu)</w:t>
      </w:r>
    </w:p>
    <w:p w:rsidR="00905A98" w:rsidRDefault="00835C90">
      <w:pPr>
        <w:numPr>
          <w:ilvl w:val="0"/>
          <w:numId w:val="7"/>
        </w:numPr>
        <w:spacing w:before="170" w:after="170"/>
        <w:jc w:val="both"/>
        <w:rPr>
          <w:rFonts w:hint="eastAsia"/>
          <w:lang w:val="cs-CZ"/>
        </w:rPr>
      </w:pPr>
      <w:r>
        <w:rPr>
          <w:rFonts w:ascii="Times New Roman" w:hAnsi="Times New Roman" w:cs="Times New Roman"/>
          <w:lang w:val="cs-CZ" w:eastAsia="cs-CZ"/>
        </w:rPr>
        <w:t>Písemnou část zkoušky konané během zkouškového období je zkoušející povinen opravit a zpřístupnit výsledky bezodkladně, nejpozději do tří pracovních dnů ode dne konání.</w:t>
      </w:r>
    </w:p>
    <w:p w:rsidR="00905A98" w:rsidRDefault="00835C90">
      <w:pPr>
        <w:numPr>
          <w:ilvl w:val="0"/>
          <w:numId w:val="7"/>
        </w:numPr>
        <w:spacing w:before="170" w:after="170"/>
        <w:jc w:val="both"/>
        <w:rPr>
          <w:rFonts w:hint="eastAsia"/>
          <w:lang w:val="cs-CZ"/>
        </w:rPr>
      </w:pPr>
      <w:r>
        <w:rPr>
          <w:rFonts w:ascii="Times New Roman" w:hAnsi="Times New Roman" w:cs="Times New Roman"/>
          <w:lang w:val="cs-CZ" w:eastAsia="cs-CZ"/>
        </w:rPr>
        <w:t>Pro zkoušky konané mimo zkouškové období platí ustanovení čl. 8 odst. 10 Řádu.</w:t>
      </w:r>
    </w:p>
    <w:p w:rsidR="00905A98" w:rsidRDefault="00835C90">
      <w:pPr>
        <w:pStyle w:val="clanek"/>
        <w:rPr>
          <w:lang w:val="cs-CZ"/>
        </w:rPr>
      </w:pPr>
      <w:r>
        <w:rPr>
          <w:lang w:val="cs-CZ"/>
        </w:rPr>
        <w:t>Čl. 10</w:t>
      </w:r>
      <w:r>
        <w:rPr>
          <w:lang w:val="cs-CZ"/>
        </w:rPr>
        <w:br/>
        <w:t>Skládání částí státních závěrečných zkoušek</w:t>
      </w:r>
      <w:r>
        <w:rPr>
          <w:lang w:val="cs-CZ"/>
        </w:rPr>
        <w:br/>
      </w:r>
      <w:r>
        <w:rPr>
          <w:b w:val="0"/>
          <w:lang w:val="cs-CZ"/>
        </w:rPr>
        <w:t>(K čl. 9 odst. 5 a 9 Řádu)</w:t>
      </w:r>
    </w:p>
    <w:p w:rsidR="00905A98" w:rsidRDefault="00835C90">
      <w:pPr>
        <w:numPr>
          <w:ilvl w:val="0"/>
          <w:numId w:val="8"/>
        </w:numPr>
        <w:spacing w:before="170" w:after="170"/>
        <w:jc w:val="both"/>
        <w:rPr>
          <w:rFonts w:hint="eastAsia"/>
          <w:lang w:val="cs-CZ"/>
        </w:rPr>
      </w:pPr>
      <w:r>
        <w:rPr>
          <w:rFonts w:ascii="Times New Roman" w:hAnsi="Times New Roman" w:cs="Times New Roman"/>
          <w:lang w:val="cs-CZ" w:eastAsia="cs-CZ"/>
        </w:rPr>
        <w:t>V bakalářských a magisterských studijních programech oblasti vzdělávání Informatika a v bakalářských studijních programech oblastí vzdělávání Matematika a Fyzika, s výjimkou bakalářských studijních programů zaměřených na vzdělávání a magisterských studijních programů v kombinované formě studia patřících také do oblasti vzdělávání Učitelství, se pořadí konání jednotlivých částí státních závěrečných zkoušek nestanoví. Student se nemusí přihlašovat současně na všechny části státních závěrečných zkoušek, které dosud nevykonal.</w:t>
      </w:r>
    </w:p>
    <w:p w:rsidR="00905A98" w:rsidRDefault="00835C90">
      <w:pPr>
        <w:numPr>
          <w:ilvl w:val="0"/>
          <w:numId w:val="8"/>
        </w:numPr>
        <w:spacing w:before="170" w:after="170"/>
        <w:jc w:val="both"/>
        <w:rPr>
          <w:rFonts w:hint="eastAsia"/>
          <w:lang w:val="cs-CZ"/>
        </w:rPr>
      </w:pPr>
      <w:r>
        <w:rPr>
          <w:rFonts w:ascii="Times New Roman" w:hAnsi="Times New Roman" w:cs="Times New Roman"/>
          <w:lang w:val="cs-CZ" w:eastAsia="cs-CZ"/>
        </w:rPr>
        <w:t>V magisterských studijních programech oblastí vzdělávání Fyzika a Matematika, s výjimkou magisterských studijních programů v kombinované formě studia patřících také do oblasti vzdělávání Učitelství, předchází obhajoba závěrečné práce poslední části státní závěrečné zkoušky a student se přihlašuje vždy současně na všechny části státní závěrečné zkoušky, které dosud nevykonal.</w:t>
      </w:r>
    </w:p>
    <w:p w:rsidR="00905A98" w:rsidRDefault="00835C90">
      <w:pPr>
        <w:numPr>
          <w:ilvl w:val="0"/>
          <w:numId w:val="8"/>
        </w:numPr>
        <w:spacing w:before="170" w:after="170"/>
        <w:jc w:val="both"/>
        <w:rPr>
          <w:rFonts w:hint="eastAsia"/>
          <w:lang w:val="cs-CZ"/>
        </w:rPr>
      </w:pPr>
      <w:r>
        <w:rPr>
          <w:rFonts w:ascii="Times New Roman" w:hAnsi="Times New Roman" w:cs="Times New Roman"/>
          <w:lang w:val="cs-CZ" w:eastAsia="cs-CZ"/>
        </w:rPr>
        <w:t>V bakalářských studijních programech zaměřených na vzdělávání a v magisterských studijních programech v kombinované formě studia patřících také do oblasti vzdělávání Učitelství předchází obhajoba závěrečné práce té ústní části státní závěrečné zkoušky, která odpovídá tématu závěrečné práce, a student se přihlašuje vždy současně na tyto dvě části státní závěrečné zkoušky, pokud žádnou z nich dosud nevykonal.</w:t>
      </w:r>
    </w:p>
    <w:p w:rsidR="00905A98" w:rsidRDefault="00835C90">
      <w:pPr>
        <w:numPr>
          <w:ilvl w:val="0"/>
          <w:numId w:val="8"/>
        </w:numPr>
        <w:spacing w:before="170" w:after="170"/>
        <w:jc w:val="both"/>
        <w:rPr>
          <w:rFonts w:hint="eastAsia"/>
          <w:lang w:val="cs-CZ"/>
        </w:rPr>
      </w:pPr>
      <w:r>
        <w:rPr>
          <w:rFonts w:ascii="Times New Roman" w:hAnsi="Times New Roman" w:cs="Times New Roman"/>
          <w:lang w:val="cs-CZ" w:eastAsia="cs-CZ"/>
        </w:rPr>
        <w:t>Počet kreditů nutný pro konání jiné než poslední části státní zkoušky se nestanoví.</w:t>
      </w:r>
    </w:p>
    <w:p w:rsidR="00905A98" w:rsidRDefault="00835C90">
      <w:pPr>
        <w:pStyle w:val="clanek"/>
        <w:rPr>
          <w:lang w:val="cs-CZ"/>
        </w:rPr>
      </w:pPr>
      <w:r>
        <w:rPr>
          <w:lang w:val="cs-CZ"/>
        </w:rPr>
        <w:t>Čl. 11</w:t>
      </w:r>
      <w:r>
        <w:rPr>
          <w:lang w:val="cs-CZ"/>
        </w:rPr>
        <w:br/>
        <w:t>Přísnější nebo další podmínky pro absolvování s vyznamenáním</w:t>
      </w:r>
      <w:r>
        <w:rPr>
          <w:lang w:val="cs-CZ"/>
        </w:rPr>
        <w:br/>
      </w:r>
      <w:r>
        <w:rPr>
          <w:b w:val="0"/>
          <w:lang w:val="cs-CZ"/>
        </w:rPr>
        <w:t>(K čl. 9 odst. 13 Řádu)</w:t>
      </w:r>
    </w:p>
    <w:p w:rsidR="00905A98" w:rsidRDefault="00835C90">
      <w:pPr>
        <w:spacing w:before="170" w:after="170"/>
        <w:jc w:val="both"/>
        <w:rPr>
          <w:rFonts w:hint="eastAsia"/>
          <w:lang w:val="cs-CZ"/>
        </w:rPr>
      </w:pPr>
      <w:r>
        <w:rPr>
          <w:rFonts w:ascii="Times New Roman" w:hAnsi="Times New Roman" w:cs="Times New Roman"/>
          <w:lang w:val="cs-CZ" w:eastAsia="cs-CZ"/>
        </w:rPr>
        <w:t xml:space="preserve">Další podmínkou pro absolvování s vyznamenáním je skutečnost, že student byl během studia ze všech absolvovaných předmětů zakončených zkouškou klasifikován známkou „výborně“ nebo „velmi dobře“ s výjimkou nejvýše jednoho předmětu, ze kterého byl klasifikován „dobře“ a u kterého při ověřovací zkoušce konané výhradně za účelem ověření této podmínky prokáže znalost odpovídající klasifikaci „výborně“ nebo „velmi dobře“. Ověřovací zkouška z tohoto </w:t>
      </w:r>
      <w:r>
        <w:rPr>
          <w:rFonts w:ascii="Times New Roman" w:hAnsi="Times New Roman" w:cs="Times New Roman"/>
          <w:lang w:val="cs-CZ" w:eastAsia="cs-CZ"/>
        </w:rPr>
        <w:lastRenderedPageBreak/>
        <w:t>předmětu se koná na základě žádosti studenta v termínu stanoveném děkanem, nejdříve po dosažení 75 % minimálního počtu kreditů nutných pro přihlášení k poslední části státní zkoušky, a je nutno ji složit před přihlášením se k poslední části státní zkoušky. Ověřovací zkouška není kontrolou studia a lze ji konat pouze jednou. Původní klasifikace daného předmětu se složením ověřovací zkoušky nemění.</w:t>
      </w:r>
    </w:p>
    <w:p w:rsidR="00905A98" w:rsidRDefault="00835C90">
      <w:pPr>
        <w:pStyle w:val="clanek"/>
        <w:rPr>
          <w:lang w:val="cs-CZ"/>
        </w:rPr>
      </w:pPr>
      <w:r>
        <w:rPr>
          <w:lang w:val="cs-CZ"/>
        </w:rPr>
        <w:t>Čl. 12</w:t>
      </w:r>
      <w:r>
        <w:rPr>
          <w:lang w:val="cs-CZ"/>
        </w:rPr>
        <w:br/>
        <w:t>Uznávání kreditů v navazujícím magisterském studijním programu</w:t>
      </w:r>
      <w:r>
        <w:rPr>
          <w:lang w:val="cs-CZ"/>
        </w:rPr>
        <w:br/>
      </w:r>
      <w:r>
        <w:rPr>
          <w:b w:val="0"/>
          <w:lang w:val="cs-CZ"/>
        </w:rPr>
        <w:t>(K čl. 8 odst. 17 Řádu)</w:t>
      </w:r>
    </w:p>
    <w:p w:rsidR="00905A98" w:rsidRDefault="00835C90">
      <w:pPr>
        <w:numPr>
          <w:ilvl w:val="0"/>
          <w:numId w:val="10"/>
        </w:numPr>
        <w:spacing w:before="170" w:after="170"/>
        <w:jc w:val="both"/>
        <w:rPr>
          <w:rFonts w:hint="eastAsia"/>
          <w:lang w:val="cs-CZ"/>
        </w:rPr>
      </w:pPr>
      <w:r>
        <w:rPr>
          <w:rFonts w:ascii="Times New Roman" w:hAnsi="Times New Roman" w:cs="Times New Roman"/>
          <w:lang w:val="cs-CZ" w:eastAsia="cs-CZ"/>
        </w:rPr>
        <w:t>Na základě písemné žádosti studenta navazujícího magisterského studijního programu děkan studentovi zpravidla uzná splnění kontroly a rozhodne o přidělení kreditů u těch předmětů, které splnil v absolvovaném bakalářském studijním programu a pro které jsou splněny všechny následující podmínky:</w:t>
      </w:r>
    </w:p>
    <w:p w:rsidR="00905A98" w:rsidRDefault="00835C90">
      <w:pPr>
        <w:numPr>
          <w:ilvl w:val="1"/>
          <w:numId w:val="10"/>
        </w:numPr>
        <w:spacing w:before="170" w:after="170"/>
        <w:jc w:val="both"/>
        <w:rPr>
          <w:rFonts w:hint="eastAsia"/>
          <w:lang w:val="cs-CZ"/>
        </w:rPr>
      </w:pPr>
      <w:r>
        <w:rPr>
          <w:rFonts w:ascii="Times New Roman" w:hAnsi="Times New Roman" w:cs="Times New Roman"/>
          <w:lang w:val="cs-CZ" w:eastAsia="cs-CZ"/>
        </w:rPr>
        <w:t>jedná se o povinně volitelné nebo volitelné předměty absolvovaného bakalářského studijního programu,</w:t>
      </w:r>
    </w:p>
    <w:p w:rsidR="00905A98" w:rsidRDefault="00835C90">
      <w:pPr>
        <w:numPr>
          <w:ilvl w:val="1"/>
          <w:numId w:val="10"/>
        </w:numPr>
        <w:spacing w:before="170" w:after="170"/>
        <w:jc w:val="both"/>
        <w:rPr>
          <w:rFonts w:hint="eastAsia"/>
          <w:lang w:val="cs-CZ"/>
        </w:rPr>
      </w:pPr>
      <w:r>
        <w:rPr>
          <w:rFonts w:ascii="Times New Roman" w:hAnsi="Times New Roman" w:cs="Times New Roman"/>
          <w:lang w:val="cs-CZ" w:eastAsia="cs-CZ"/>
        </w:rPr>
        <w:t>jedná se o povinné nebo povinně volitelné předměty navazujícího magisterského studijního programu studenta podle jeho studijního plánu, nebo jejich ekvivalenty,</w:t>
      </w:r>
    </w:p>
    <w:p w:rsidR="00905A98" w:rsidRDefault="00835C90">
      <w:pPr>
        <w:numPr>
          <w:ilvl w:val="1"/>
          <w:numId w:val="10"/>
        </w:numPr>
        <w:spacing w:before="170" w:after="170"/>
        <w:jc w:val="both"/>
        <w:rPr>
          <w:rFonts w:hint="eastAsia"/>
          <w:lang w:val="cs-CZ"/>
        </w:rPr>
      </w:pPr>
      <w:r>
        <w:rPr>
          <w:rFonts w:ascii="Times New Roman" w:hAnsi="Times New Roman" w:cs="Times New Roman"/>
          <w:lang w:val="cs-CZ" w:eastAsia="cs-CZ"/>
        </w:rPr>
        <w:t>kredity za povinně volitelné a volitelné předměty podle podmínky a) tohoto článku jdou nad rámec počtu kreditů požadovaných pro absolvování bakalářského studijního programu,</w:t>
      </w:r>
    </w:p>
    <w:p w:rsidR="00905A98" w:rsidRDefault="00835C90">
      <w:pPr>
        <w:numPr>
          <w:ilvl w:val="1"/>
          <w:numId w:val="10"/>
        </w:numPr>
        <w:spacing w:before="170" w:after="170"/>
        <w:jc w:val="both"/>
        <w:rPr>
          <w:rFonts w:hint="eastAsia"/>
          <w:lang w:val="cs-CZ"/>
        </w:rPr>
      </w:pPr>
      <w:r>
        <w:rPr>
          <w:rFonts w:ascii="Times New Roman" w:hAnsi="Times New Roman" w:cs="Times New Roman"/>
          <w:lang w:val="cs-CZ" w:eastAsia="cs-CZ"/>
        </w:rPr>
        <w:t>kredity za povinně volitelné předměty podle podmínky a) tohoto článku jdou nad rámec počtu kreditů z povinně volitelných předmětů požadovaných v absolvovaném bakalářském studijním programu,</w:t>
      </w:r>
    </w:p>
    <w:p w:rsidR="00905A98" w:rsidRDefault="00835C90">
      <w:pPr>
        <w:numPr>
          <w:ilvl w:val="1"/>
          <w:numId w:val="10"/>
        </w:numPr>
        <w:spacing w:before="170" w:after="170"/>
        <w:jc w:val="both"/>
        <w:rPr>
          <w:rFonts w:hint="eastAsia"/>
          <w:lang w:val="cs-CZ"/>
        </w:rPr>
      </w:pPr>
      <w:r>
        <w:rPr>
          <w:rFonts w:ascii="Times New Roman" w:hAnsi="Times New Roman" w:cs="Times New Roman"/>
          <w:lang w:val="cs-CZ" w:eastAsia="cs-CZ"/>
        </w:rPr>
        <w:t>nejedná se o předměty klasifikované známkou „dobře“,</w:t>
      </w:r>
    </w:p>
    <w:p w:rsidR="00905A98" w:rsidRDefault="00835C90">
      <w:pPr>
        <w:numPr>
          <w:ilvl w:val="1"/>
          <w:numId w:val="10"/>
        </w:numPr>
        <w:spacing w:before="170" w:after="170"/>
        <w:jc w:val="both"/>
        <w:rPr>
          <w:rFonts w:hint="eastAsia"/>
          <w:lang w:val="cs-CZ"/>
        </w:rPr>
      </w:pPr>
      <w:r>
        <w:rPr>
          <w:rFonts w:ascii="Times New Roman" w:hAnsi="Times New Roman" w:cs="Times New Roman"/>
          <w:lang w:val="cs-CZ" w:eastAsia="cs-CZ"/>
        </w:rPr>
        <w:t>student o uznání splnění kontroly a přidělení kreditů u předmětů absolvovaných v bakalářském studijním programu žádá poprvé.</w:t>
      </w:r>
    </w:p>
    <w:p w:rsidR="00905A98" w:rsidRDefault="00835C90">
      <w:pPr>
        <w:numPr>
          <w:ilvl w:val="0"/>
          <w:numId w:val="10"/>
        </w:numPr>
        <w:spacing w:before="170" w:after="170"/>
        <w:jc w:val="both"/>
        <w:rPr>
          <w:rFonts w:hint="eastAsia"/>
          <w:lang w:val="cs-CZ"/>
        </w:rPr>
      </w:pPr>
      <w:r>
        <w:rPr>
          <w:rFonts w:ascii="Times New Roman" w:hAnsi="Times New Roman" w:cs="Times New Roman"/>
          <w:lang w:val="cs-CZ" w:eastAsia="cs-CZ"/>
        </w:rPr>
        <w:t>Na žádost studenta může děkan uznat pouze splnění povinnosti a nepřidělit kredity.</w:t>
      </w:r>
    </w:p>
    <w:p w:rsidR="00905A98" w:rsidRDefault="00835C90">
      <w:pPr>
        <w:pStyle w:val="clanek"/>
        <w:rPr>
          <w:lang w:val="cs-CZ"/>
        </w:rPr>
      </w:pPr>
      <w:r>
        <w:rPr>
          <w:lang w:val="cs-CZ"/>
        </w:rPr>
        <w:t>Část II</w:t>
      </w:r>
      <w:r>
        <w:rPr>
          <w:lang w:val="cs-CZ"/>
        </w:rPr>
        <w:br/>
        <w:t>Podrobnosti o organizaci studia v bakalářských</w:t>
      </w:r>
      <w:r>
        <w:rPr>
          <w:lang w:val="cs-CZ"/>
        </w:rPr>
        <w:br/>
        <w:t>a magisterských studijních programech</w:t>
      </w:r>
    </w:p>
    <w:p w:rsidR="00905A98" w:rsidRDefault="00835C90">
      <w:pPr>
        <w:pStyle w:val="clanek"/>
        <w:rPr>
          <w:lang w:val="cs-CZ"/>
        </w:rPr>
      </w:pPr>
      <w:r>
        <w:rPr>
          <w:rFonts w:eastAsia="Times New Roman" w:cs="Times New Roman"/>
          <w:bCs/>
          <w:lang w:val="cs-CZ" w:eastAsia="cs-CZ"/>
        </w:rPr>
        <w:t>Čl. 13</w:t>
      </w:r>
      <w:r>
        <w:rPr>
          <w:rFonts w:eastAsia="Times New Roman" w:cs="Times New Roman"/>
          <w:bCs/>
          <w:lang w:val="cs-CZ" w:eastAsia="cs-CZ"/>
        </w:rPr>
        <w:br/>
        <w:t>Studijní informační systém UK</w:t>
      </w:r>
    </w:p>
    <w:p w:rsidR="00905A98" w:rsidRDefault="00835C90">
      <w:pPr>
        <w:numPr>
          <w:ilvl w:val="0"/>
          <w:numId w:val="9"/>
        </w:numPr>
        <w:spacing w:before="170" w:after="170"/>
        <w:jc w:val="both"/>
        <w:rPr>
          <w:rFonts w:hint="eastAsia"/>
          <w:lang w:val="cs-CZ"/>
        </w:rPr>
      </w:pPr>
      <w:r>
        <w:rPr>
          <w:rFonts w:ascii="Times New Roman" w:hAnsi="Times New Roman" w:cs="Times New Roman"/>
          <w:lang w:val="cs-CZ" w:eastAsia="cs-CZ"/>
        </w:rPr>
        <w:t>Zápisy předmětů probíhají každý semestr v období určeném Harmonogramem akademického roku fakulty. Zápisy se uskutečňují elektronicky prostřednictvím SIS. Do konce období určeného pro zápis je zápis předmětů pouze předběžný a studenti ho mohou sami dle potřeby měnit. Po skončení období pro zápis předmětů Studijní oddělení fakulty potvrdí studentovi zápis těch předběžně zapsaných předmětů, které má student právo si zapsat; jakýkoli další zásah do zápisu předmětů nemůže student samostatně provést.</w:t>
      </w:r>
    </w:p>
    <w:p w:rsidR="00905A98" w:rsidRDefault="00835C90">
      <w:pPr>
        <w:numPr>
          <w:ilvl w:val="0"/>
          <w:numId w:val="9"/>
        </w:numPr>
        <w:spacing w:before="170" w:after="170"/>
        <w:jc w:val="both"/>
        <w:rPr>
          <w:rFonts w:hint="eastAsia"/>
          <w:lang w:val="cs-CZ"/>
        </w:rPr>
      </w:pPr>
      <w:r>
        <w:rPr>
          <w:rFonts w:ascii="Times New Roman" w:hAnsi="Times New Roman" w:cs="Times New Roman"/>
          <w:lang w:val="cs-CZ" w:eastAsia="cs-CZ"/>
        </w:rPr>
        <w:lastRenderedPageBreak/>
        <w:t>Termíny konání kontrol studia předmětu vypisuje příslušný vyučující v SIS. Tyto termíny jsou určeny pro nejvýše tři přihlášení se daného studenta na zkoušku z daného zapsaného předmětu, nejde-li o postup po řádné omluvě podle věty třetí čl. 8 odst. 14 Řádu.</w:t>
      </w:r>
    </w:p>
    <w:p w:rsidR="00905A98" w:rsidRDefault="00835C90">
      <w:pPr>
        <w:numPr>
          <w:ilvl w:val="0"/>
          <w:numId w:val="9"/>
        </w:numPr>
        <w:spacing w:before="170" w:after="170"/>
        <w:jc w:val="both"/>
        <w:rPr>
          <w:rFonts w:hint="eastAsia"/>
          <w:lang w:val="cs-CZ"/>
        </w:rPr>
      </w:pPr>
      <w:r>
        <w:rPr>
          <w:rFonts w:ascii="Times New Roman" w:hAnsi="Times New Roman" w:cs="Times New Roman"/>
          <w:lang w:val="cs-CZ" w:eastAsia="cs-CZ"/>
        </w:rPr>
        <w:t>Výsledek zkoušky či zápočtu zapisuje příslušný vyučující do SIS nejpozději do tří pracovních dní od termínu příslušné kontroly, a student výsledek bez zbytečného odkladu kontroluje. Má-li student za to, že došlo k pochybení, uvědomí neprodleně vyučujícího, který po posouzení věci zjedná nápravu. Neučiní-li tak, má student právo obrátit se na vedoucího pracoviště zajišťujícího výuku daného předmětu, který zajistí nápravu.</w:t>
      </w:r>
    </w:p>
    <w:p w:rsidR="00905A98" w:rsidRDefault="00835C90">
      <w:pPr>
        <w:numPr>
          <w:ilvl w:val="0"/>
          <w:numId w:val="9"/>
        </w:numPr>
        <w:spacing w:before="170" w:after="170"/>
        <w:jc w:val="both"/>
        <w:rPr>
          <w:rFonts w:hint="eastAsia"/>
          <w:lang w:val="cs-CZ"/>
        </w:rPr>
      </w:pPr>
      <w:r>
        <w:rPr>
          <w:rFonts w:ascii="Times New Roman" w:hAnsi="Times New Roman" w:cs="Times New Roman"/>
          <w:lang w:val="cs-CZ" w:eastAsia="cs-CZ"/>
        </w:rPr>
        <w:t>Průběžnou kontrolu studia provádí fakulta v termínu stanoveném Harmonogramem akademického roku fakulty na základě údajů v SIS.</w:t>
      </w:r>
    </w:p>
    <w:p w:rsidR="00905A98" w:rsidRDefault="00835C90">
      <w:pPr>
        <w:pStyle w:val="clanek"/>
        <w:rPr>
          <w:lang w:val="cs-CZ"/>
        </w:rPr>
      </w:pPr>
      <w:r>
        <w:rPr>
          <w:lang w:val="cs-CZ"/>
        </w:rPr>
        <w:t>Čl. 14</w:t>
      </w:r>
      <w:r>
        <w:rPr>
          <w:lang w:val="cs-CZ"/>
        </w:rPr>
        <w:br/>
        <w:t>Údaje o průběhu studia</w:t>
      </w:r>
    </w:p>
    <w:p w:rsidR="00905A98" w:rsidRDefault="00835C90">
      <w:pPr>
        <w:spacing w:before="170" w:after="170"/>
        <w:jc w:val="both"/>
        <w:rPr>
          <w:rFonts w:hint="eastAsia"/>
          <w:lang w:val="cs-CZ"/>
        </w:rPr>
      </w:pPr>
      <w:r>
        <w:rPr>
          <w:rFonts w:ascii="Times New Roman" w:hAnsi="Times New Roman" w:cs="Times New Roman"/>
          <w:lang w:val="cs-CZ" w:eastAsia="cs-CZ"/>
        </w:rPr>
        <w:t>Údaje o průběhu studia jsou studentovi přístupné prostřednictvím SIS.</w:t>
      </w:r>
    </w:p>
    <w:p w:rsidR="00905A98" w:rsidRDefault="00835C90">
      <w:pPr>
        <w:pStyle w:val="clanek"/>
        <w:rPr>
          <w:lang w:val="cs-CZ"/>
        </w:rPr>
      </w:pPr>
      <w:r>
        <w:rPr>
          <w:lang w:val="cs-CZ"/>
        </w:rPr>
        <w:t>Čl. 15</w:t>
      </w:r>
      <w:r>
        <w:rPr>
          <w:lang w:val="cs-CZ"/>
        </w:rPr>
        <w:br/>
        <w:t>Ověření totožnosti u kontroly studia</w:t>
      </w:r>
    </w:p>
    <w:p w:rsidR="00905A98" w:rsidRDefault="00835C90">
      <w:pPr>
        <w:spacing w:before="170" w:after="170"/>
        <w:jc w:val="both"/>
        <w:rPr>
          <w:rFonts w:hint="eastAsia"/>
          <w:lang w:val="cs-CZ"/>
        </w:rPr>
      </w:pPr>
      <w:r>
        <w:rPr>
          <w:rFonts w:ascii="Times New Roman" w:hAnsi="Times New Roman" w:cs="Times New Roman"/>
          <w:lang w:val="cs-CZ" w:eastAsia="cs-CZ"/>
        </w:rPr>
        <w:t>V případě potřeby provede vyučující ověření totožnosti studenta. Obdobně se postupuje u každé části státní závěrečné zkoušky.</w:t>
      </w:r>
    </w:p>
    <w:p w:rsidR="00905A98" w:rsidRDefault="00835C90">
      <w:pPr>
        <w:pStyle w:val="clanek"/>
        <w:rPr>
          <w:lang w:val="cs-CZ"/>
        </w:rPr>
      </w:pPr>
      <w:r>
        <w:rPr>
          <w:lang w:val="cs-CZ"/>
        </w:rPr>
        <w:t>Čl. 16</w:t>
      </w:r>
      <w:r>
        <w:rPr>
          <w:lang w:val="cs-CZ"/>
        </w:rPr>
        <w:br/>
        <w:t>Závěrečná práce a státní závěrečná zkouška</w:t>
      </w:r>
    </w:p>
    <w:p w:rsidR="00905A98" w:rsidRDefault="00835C90">
      <w:pPr>
        <w:numPr>
          <w:ilvl w:val="0"/>
          <w:numId w:val="11"/>
        </w:numPr>
        <w:spacing w:before="170" w:after="170"/>
        <w:jc w:val="both"/>
        <w:rPr>
          <w:rFonts w:hint="eastAsia"/>
          <w:lang w:val="cs-CZ"/>
        </w:rPr>
      </w:pPr>
      <w:r>
        <w:rPr>
          <w:rFonts w:ascii="Times New Roman" w:hAnsi="Times New Roman" w:cs="Times New Roman"/>
          <w:lang w:val="cs-CZ" w:eastAsia="cs-CZ"/>
        </w:rPr>
        <w:t>Student, který splnil podmínky stanovené studijním plánem, má právo na zadání závěrečné práce (tj. bakalářské nebo diplomové práce). Žádost o přidělení vybraného zadání závěrečné práce provádí student prostřednictvím SIS z nabídky fakulty; chce-li student navrhnout vlastní zadání závěrečné práce, má právo v této věci oslovit libovolného vyučujícího. Pokud vyučující s tématem souhlasí, vypíše jej v SIS a student se na něj přihlásí. Jestliže vypisovatel zadání vyjádří souhlas s vedením závěrečné práce žádajícího studenta a s tímto souhlasí také vedoucí odpovídajícího pracoviště, děkan zadá studentovi vybranou závěrečnou práci. Evidenci o zadaných závěrečných pracích vede Studijní oddělení fakulty.</w:t>
      </w:r>
    </w:p>
    <w:p w:rsidR="00905A98" w:rsidRDefault="00835C90">
      <w:pPr>
        <w:numPr>
          <w:ilvl w:val="0"/>
          <w:numId w:val="11"/>
        </w:numPr>
        <w:spacing w:before="170" w:after="170"/>
        <w:jc w:val="both"/>
        <w:rPr>
          <w:rFonts w:hint="eastAsia"/>
          <w:lang w:val="cs-CZ"/>
        </w:rPr>
      </w:pPr>
      <w:r>
        <w:rPr>
          <w:rFonts w:ascii="Times New Roman" w:hAnsi="Times New Roman" w:cs="Times New Roman"/>
          <w:lang w:val="cs-CZ" w:eastAsia="cs-CZ"/>
        </w:rPr>
        <w:t xml:space="preserve">Student může požádat děkana o změnu zadání závěrečné práce. Děkan takové žádosti vyhoví, shledá-li ji </w:t>
      </w:r>
      <w:r w:rsidR="00E05369">
        <w:rPr>
          <w:rFonts w:ascii="Times New Roman" w:hAnsi="Times New Roman" w:cs="Times New Roman"/>
          <w:lang w:val="cs-CZ" w:eastAsia="cs-CZ"/>
        </w:rPr>
        <w:t>důvodnou</w:t>
      </w:r>
      <w:r>
        <w:rPr>
          <w:rFonts w:ascii="Times New Roman" w:hAnsi="Times New Roman" w:cs="Times New Roman"/>
          <w:lang w:val="cs-CZ" w:eastAsia="cs-CZ"/>
        </w:rPr>
        <w:t>.</w:t>
      </w:r>
    </w:p>
    <w:p w:rsidR="00905A98" w:rsidRDefault="00835C90">
      <w:pPr>
        <w:numPr>
          <w:ilvl w:val="0"/>
          <w:numId w:val="11"/>
        </w:numPr>
        <w:spacing w:before="170" w:after="170"/>
        <w:jc w:val="both"/>
        <w:rPr>
          <w:rFonts w:hint="eastAsia"/>
          <w:lang w:val="cs-CZ"/>
        </w:rPr>
      </w:pPr>
      <w:r>
        <w:rPr>
          <w:rFonts w:ascii="Times New Roman" w:hAnsi="Times New Roman" w:cs="Times New Roman"/>
          <w:lang w:val="cs-CZ" w:eastAsia="cs-CZ"/>
        </w:rPr>
        <w:t xml:space="preserve">Vedoucí závěrečné práce může požádat děkana o uvolnění z vedení zadané práce. Děkan takové žádosti vyhoví, shledá-li ji </w:t>
      </w:r>
      <w:r w:rsidR="00E05369">
        <w:rPr>
          <w:rFonts w:ascii="Times New Roman" w:hAnsi="Times New Roman" w:cs="Times New Roman"/>
          <w:lang w:val="cs-CZ" w:eastAsia="cs-CZ"/>
        </w:rPr>
        <w:t>důvodnou</w:t>
      </w:r>
      <w:r>
        <w:rPr>
          <w:rFonts w:ascii="Times New Roman" w:hAnsi="Times New Roman" w:cs="Times New Roman"/>
          <w:lang w:val="cs-CZ" w:eastAsia="cs-CZ"/>
        </w:rPr>
        <w:t>. Jestliže děkan žádosti vyhoví, stanoví zároveň studentovi jiného vedoucího závěrečné práce. Uvolnění vedoucího z vedení práce je považováno za závažný důvod pro žádost o změnu zadání závěrečné práce ze strany studenta. Takové žádosti děkan zpravidla vyhoví.</w:t>
      </w:r>
    </w:p>
    <w:p w:rsidR="00905A98" w:rsidRDefault="00835C90">
      <w:pPr>
        <w:numPr>
          <w:ilvl w:val="0"/>
          <w:numId w:val="11"/>
        </w:numPr>
        <w:spacing w:before="170" w:after="170"/>
        <w:jc w:val="both"/>
        <w:rPr>
          <w:rFonts w:hint="eastAsia"/>
          <w:lang w:val="cs-CZ"/>
        </w:rPr>
      </w:pPr>
      <w:r>
        <w:rPr>
          <w:rFonts w:ascii="Times New Roman" w:hAnsi="Times New Roman" w:cs="Times New Roman"/>
          <w:lang w:val="cs-CZ" w:eastAsia="cs-CZ"/>
        </w:rPr>
        <w:t>Závěrečná práce musí být napsána v jazyce českém, slovenském nebo anglickém; se souhlasem děkana může být závěrečná práce napsána i v jiném jazyce. Formální náležitosti práce upravuje opatření děkana.</w:t>
      </w:r>
    </w:p>
    <w:p w:rsidR="00905A98" w:rsidRDefault="00835C90">
      <w:pPr>
        <w:numPr>
          <w:ilvl w:val="0"/>
          <w:numId w:val="11"/>
        </w:numPr>
        <w:spacing w:before="170" w:after="170"/>
        <w:jc w:val="both"/>
        <w:rPr>
          <w:rFonts w:hint="eastAsia"/>
          <w:lang w:val="cs-CZ"/>
        </w:rPr>
      </w:pPr>
      <w:r>
        <w:rPr>
          <w:rFonts w:ascii="Times New Roman" w:hAnsi="Times New Roman" w:cs="Times New Roman"/>
          <w:lang w:val="cs-CZ" w:eastAsia="cs-CZ"/>
        </w:rPr>
        <w:t xml:space="preserve">V termínu stanoveném Harmonogramem akademického roku fakulty odevzdá student vypracovanou závěrečnou práci; podrobnosti stanoví opatření děkana vydané po souhlasném </w:t>
      </w:r>
      <w:r>
        <w:rPr>
          <w:rFonts w:ascii="Times New Roman" w:hAnsi="Times New Roman" w:cs="Times New Roman"/>
          <w:lang w:val="cs-CZ" w:eastAsia="cs-CZ"/>
        </w:rPr>
        <w:lastRenderedPageBreak/>
        <w:t>vyjádření akademického senátu fakulty. Předseda komise stanoví oponenta, který vypracuje posudek na odevzdanou práci. Posudek na práci vypracuje také její vedoucí. Student má právo seznámit se s posudky nejpozději pět pracovních dní před termínem konání obhajoby prostřednictvím SIS.</w:t>
      </w:r>
    </w:p>
    <w:p w:rsidR="00905A98" w:rsidRDefault="00835C90">
      <w:pPr>
        <w:numPr>
          <w:ilvl w:val="0"/>
          <w:numId w:val="11"/>
        </w:numPr>
        <w:spacing w:before="170" w:after="170"/>
        <w:jc w:val="both"/>
        <w:rPr>
          <w:rFonts w:hint="eastAsia"/>
          <w:lang w:val="cs-CZ"/>
        </w:rPr>
      </w:pPr>
      <w:r>
        <w:rPr>
          <w:rFonts w:ascii="Times New Roman" w:hAnsi="Times New Roman" w:cs="Times New Roman"/>
          <w:lang w:val="cs-CZ" w:eastAsia="cs-CZ"/>
        </w:rPr>
        <w:t>Obhajoba závěrečné práce se skládá ze stručné prezentace práce studentem, hodnocení oponentem a vedoucím, odpovědí studenta na otázky vznesené oponentem, odpovědí studenta na otázky členů komise a dále ze stručné navazující diskuse s přítomnými; podrobnosti stanoví předseda komise.</w:t>
      </w:r>
    </w:p>
    <w:p w:rsidR="00905A98" w:rsidRDefault="00835C90">
      <w:pPr>
        <w:numPr>
          <w:ilvl w:val="0"/>
          <w:numId w:val="11"/>
        </w:numPr>
        <w:spacing w:before="170" w:after="170"/>
        <w:jc w:val="both"/>
        <w:rPr>
          <w:rFonts w:hint="eastAsia"/>
          <w:lang w:val="cs-CZ"/>
        </w:rPr>
      </w:pPr>
      <w:r>
        <w:rPr>
          <w:rFonts w:ascii="Times New Roman" w:hAnsi="Times New Roman" w:cs="Times New Roman"/>
          <w:lang w:val="cs-CZ" w:eastAsia="cs-CZ"/>
        </w:rPr>
        <w:t>Jestliže student neobhájí závěrečnou práci, může ji po doporučení komise buď přepracovat a předložit v některém z následujících termínů, nebo může požádat děkana o zadání nové závěrečné práce; nové zadání nezakládá nárok na další termíny obhajoby práce.</w:t>
      </w:r>
    </w:p>
    <w:p w:rsidR="00905A98" w:rsidRDefault="00835C90">
      <w:pPr>
        <w:numPr>
          <w:ilvl w:val="0"/>
          <w:numId w:val="11"/>
        </w:numPr>
        <w:spacing w:before="170" w:after="170"/>
        <w:jc w:val="both"/>
        <w:rPr>
          <w:rFonts w:hint="eastAsia"/>
          <w:lang w:val="cs-CZ"/>
        </w:rPr>
      </w:pPr>
      <w:r>
        <w:rPr>
          <w:rFonts w:ascii="Times New Roman" w:hAnsi="Times New Roman" w:cs="Times New Roman"/>
          <w:lang w:val="cs-CZ" w:eastAsia="cs-CZ"/>
        </w:rPr>
        <w:t>Ke státní závěrečné zkoušce nebo její části je student povinen se přihlásit na Studijním oddělení fakulty v termínu stanoveném Harmonogramem akademického roku fakulty.</w:t>
      </w:r>
    </w:p>
    <w:p w:rsidR="00905A98" w:rsidRDefault="00835C90">
      <w:pPr>
        <w:pStyle w:val="clanek"/>
        <w:rPr>
          <w:lang w:val="cs-CZ"/>
        </w:rPr>
      </w:pPr>
      <w:r>
        <w:rPr>
          <w:lang w:val="cs-CZ"/>
        </w:rPr>
        <w:t>Část III</w:t>
      </w:r>
      <w:r>
        <w:rPr>
          <w:lang w:val="cs-CZ"/>
        </w:rPr>
        <w:br/>
        <w:t>Podrobnosti o organizaci studia v doktorských studijních programech</w:t>
      </w:r>
    </w:p>
    <w:p w:rsidR="00905A98" w:rsidRDefault="00835C90">
      <w:pPr>
        <w:pStyle w:val="clanek"/>
        <w:rPr>
          <w:lang w:val="cs-CZ"/>
        </w:rPr>
      </w:pPr>
      <w:r>
        <w:rPr>
          <w:lang w:val="cs-CZ"/>
        </w:rPr>
        <w:t>Čl. 17</w:t>
      </w:r>
      <w:r>
        <w:rPr>
          <w:lang w:val="cs-CZ"/>
        </w:rPr>
        <w:br/>
        <w:t>Oborová rada</w:t>
      </w:r>
    </w:p>
    <w:p w:rsidR="00905A98" w:rsidRDefault="00835C90">
      <w:pPr>
        <w:numPr>
          <w:ilvl w:val="0"/>
          <w:numId w:val="12"/>
        </w:numPr>
        <w:spacing w:before="170" w:after="170"/>
        <w:jc w:val="both"/>
        <w:rPr>
          <w:rFonts w:hint="eastAsia"/>
          <w:lang w:val="cs-CZ"/>
        </w:rPr>
      </w:pPr>
      <w:r>
        <w:rPr>
          <w:rFonts w:ascii="Times New Roman" w:hAnsi="Times New Roman" w:cs="Times New Roman"/>
          <w:lang w:val="cs-CZ" w:eastAsia="cs-CZ"/>
        </w:rPr>
        <w:t>Pro každý studijní program je v souladu s § 47 odst. 6 zákona č. 111/1998 Sb., o vysokých školách a o změně a doplnění dalších zákonů (dále „zákon o vysokých školách“), čl. 22 odst. 13 a 14 Statutu Univerzity Karlovy a čl. 10 odst. 7 Řádu, ustavena oborová rada programu (dále jen „oborová rada“), která sleduje a hodnotí studium v daném studijním programu.</w:t>
      </w:r>
    </w:p>
    <w:p w:rsidR="00905A98" w:rsidRDefault="00835C90">
      <w:pPr>
        <w:numPr>
          <w:ilvl w:val="0"/>
          <w:numId w:val="12"/>
        </w:numPr>
        <w:spacing w:before="170" w:after="170"/>
        <w:jc w:val="both"/>
        <w:rPr>
          <w:rFonts w:hint="eastAsia"/>
          <w:lang w:val="cs-CZ"/>
        </w:rPr>
      </w:pPr>
      <w:r>
        <w:rPr>
          <w:rFonts w:ascii="Times New Roman" w:hAnsi="Times New Roman" w:cs="Times New Roman"/>
          <w:lang w:val="cs-CZ" w:eastAsia="cs-CZ"/>
        </w:rPr>
        <w:t>Členy oborové rady jmenuje a odvolává na návrh děkana rektor s tím, že oborová rada má nejméně pět členů, nejméně dvě třetiny členů jsou z řad docentů nebo profesorů, nejméně jedna třetina není z akademické obce fakulty ani jiných zúčastněných fakult a alespoň jeden z členů není z akademické obce univerzity. Předsedou je vždy příslušný garant doktorského studijního programu.</w:t>
      </w:r>
    </w:p>
    <w:p w:rsidR="00905A98" w:rsidRDefault="00835C90">
      <w:pPr>
        <w:numPr>
          <w:ilvl w:val="0"/>
          <w:numId w:val="12"/>
        </w:numPr>
        <w:spacing w:before="170" w:after="170"/>
        <w:jc w:val="both"/>
        <w:rPr>
          <w:rFonts w:hint="eastAsia"/>
          <w:lang w:val="cs-CZ"/>
        </w:rPr>
      </w:pPr>
      <w:r>
        <w:rPr>
          <w:rFonts w:ascii="Times New Roman" w:hAnsi="Times New Roman" w:cs="Times New Roman"/>
          <w:lang w:val="cs-CZ" w:eastAsia="cs-CZ"/>
        </w:rPr>
        <w:t>Předseda oborové rady svolává a řídí její zasedání a další činnost; v jeho nepřítomnosti ho zastupuje jím pověřený člen oborové rady. O záležitostech ve své kompetenci pak oborová rada rozhoduje prostou většinou hlasů všech svých členů.</w:t>
      </w:r>
    </w:p>
    <w:p w:rsidR="00905A98" w:rsidRDefault="00835C90">
      <w:pPr>
        <w:numPr>
          <w:ilvl w:val="0"/>
          <w:numId w:val="12"/>
        </w:numPr>
        <w:spacing w:before="170" w:after="170"/>
        <w:jc w:val="both"/>
        <w:rPr>
          <w:rFonts w:hint="eastAsia"/>
          <w:lang w:val="cs-CZ"/>
        </w:rPr>
      </w:pPr>
      <w:r>
        <w:rPr>
          <w:rFonts w:ascii="Times New Roman" w:hAnsi="Times New Roman" w:cs="Times New Roman"/>
          <w:lang w:val="cs-CZ" w:eastAsia="cs-CZ"/>
        </w:rPr>
        <w:t>Oborová rada plní následující svěřené úkoly při sledování a hodnocení studia v daném studijním oboru:</w:t>
      </w:r>
    </w:p>
    <w:p w:rsidR="00905A98" w:rsidRDefault="00835C90">
      <w:pPr>
        <w:numPr>
          <w:ilvl w:val="1"/>
          <w:numId w:val="12"/>
        </w:numPr>
        <w:spacing w:before="170" w:after="170"/>
        <w:jc w:val="both"/>
        <w:rPr>
          <w:rFonts w:hint="eastAsia"/>
          <w:lang w:val="cs-CZ"/>
        </w:rPr>
      </w:pPr>
      <w:r>
        <w:rPr>
          <w:rFonts w:ascii="Times New Roman" w:hAnsi="Times New Roman" w:cs="Times New Roman"/>
          <w:lang w:val="cs-CZ" w:eastAsia="cs-CZ"/>
        </w:rPr>
        <w:t>navrhuje děkanovi jmenování školitelů a konzultantů,</w:t>
      </w:r>
    </w:p>
    <w:p w:rsidR="00905A98" w:rsidRDefault="00835C90">
      <w:pPr>
        <w:numPr>
          <w:ilvl w:val="1"/>
          <w:numId w:val="12"/>
        </w:numPr>
        <w:spacing w:before="170" w:after="170"/>
        <w:jc w:val="both"/>
        <w:rPr>
          <w:rFonts w:hint="eastAsia"/>
          <w:lang w:val="cs-CZ"/>
        </w:rPr>
      </w:pPr>
      <w:r>
        <w:rPr>
          <w:rFonts w:ascii="Times New Roman" w:hAnsi="Times New Roman" w:cs="Times New Roman"/>
          <w:lang w:val="cs-CZ" w:eastAsia="cs-CZ"/>
        </w:rPr>
        <w:t>vyjadřuje se k tématům disertačních prací a nejméně jednou ročně také rozhoduje o schválení individuálních studijních plánů studentů,</w:t>
      </w:r>
    </w:p>
    <w:p w:rsidR="00905A98" w:rsidRDefault="00835C90">
      <w:pPr>
        <w:numPr>
          <w:ilvl w:val="1"/>
          <w:numId w:val="12"/>
        </w:numPr>
        <w:spacing w:before="170" w:after="170"/>
        <w:jc w:val="both"/>
        <w:rPr>
          <w:rFonts w:hint="eastAsia"/>
          <w:lang w:val="cs-CZ"/>
        </w:rPr>
      </w:pPr>
      <w:r>
        <w:rPr>
          <w:rFonts w:ascii="Times New Roman" w:hAnsi="Times New Roman" w:cs="Times New Roman"/>
          <w:lang w:val="cs-CZ" w:eastAsia="cs-CZ"/>
        </w:rPr>
        <w:t>nejméně jednou ročně projednává zprávu školitele o hodnocení studenta a plnění individuálního studijního plánu a vydává k nim své závěrečné roční hodnocení studenta,</w:t>
      </w:r>
    </w:p>
    <w:p w:rsidR="00905A98" w:rsidRDefault="00835C90">
      <w:pPr>
        <w:numPr>
          <w:ilvl w:val="1"/>
          <w:numId w:val="12"/>
        </w:numPr>
        <w:spacing w:before="170" w:after="170"/>
        <w:jc w:val="both"/>
        <w:rPr>
          <w:rFonts w:hint="eastAsia"/>
          <w:lang w:val="cs-CZ"/>
        </w:rPr>
      </w:pPr>
      <w:r>
        <w:rPr>
          <w:rFonts w:ascii="Times New Roman" w:hAnsi="Times New Roman" w:cs="Times New Roman"/>
          <w:lang w:val="cs-CZ" w:eastAsia="cs-CZ"/>
        </w:rPr>
        <w:t>vyjadřuje se k požadavkům ke státním doktorským zkouškám,</w:t>
      </w:r>
    </w:p>
    <w:p w:rsidR="00905A98" w:rsidRDefault="00835C90">
      <w:pPr>
        <w:numPr>
          <w:ilvl w:val="1"/>
          <w:numId w:val="12"/>
        </w:numPr>
        <w:spacing w:before="170" w:after="170"/>
        <w:jc w:val="both"/>
        <w:rPr>
          <w:rFonts w:hint="eastAsia"/>
          <w:lang w:val="cs-CZ"/>
        </w:rPr>
      </w:pPr>
      <w:r>
        <w:rPr>
          <w:rFonts w:ascii="Times New Roman" w:hAnsi="Times New Roman" w:cs="Times New Roman"/>
          <w:lang w:val="cs-CZ" w:eastAsia="cs-CZ"/>
        </w:rPr>
        <w:t>vyjadřuje se k záměru děkana jmenovat členy zkušební komise pro státní doktorské zkoušky a komise pro obhajoby disertačních prací.</w:t>
      </w:r>
    </w:p>
    <w:p w:rsidR="00905A98" w:rsidRDefault="00835C90">
      <w:pPr>
        <w:numPr>
          <w:ilvl w:val="0"/>
          <w:numId w:val="12"/>
        </w:numPr>
        <w:spacing w:before="170" w:after="170"/>
        <w:jc w:val="both"/>
        <w:rPr>
          <w:rFonts w:hint="eastAsia"/>
          <w:lang w:val="cs-CZ"/>
        </w:rPr>
      </w:pPr>
      <w:r>
        <w:rPr>
          <w:rFonts w:ascii="Times New Roman" w:hAnsi="Times New Roman" w:cs="Times New Roman"/>
          <w:lang w:val="cs-CZ" w:eastAsia="cs-CZ"/>
        </w:rPr>
        <w:lastRenderedPageBreak/>
        <w:t>Oborová rada dále navrhuje děkanovi požadavky k přijímacím zkouškám do doktorského studijního programu a složení přijímacích komisí.</w:t>
      </w:r>
    </w:p>
    <w:p w:rsidR="00905A98" w:rsidRDefault="00835C90">
      <w:pPr>
        <w:pStyle w:val="clanek"/>
        <w:rPr>
          <w:lang w:val="cs-CZ"/>
        </w:rPr>
      </w:pPr>
      <w:r>
        <w:rPr>
          <w:lang w:val="cs-CZ"/>
        </w:rPr>
        <w:t>Čl. 18</w:t>
      </w:r>
      <w:r>
        <w:rPr>
          <w:lang w:val="cs-CZ"/>
        </w:rPr>
        <w:br/>
        <w:t>Spoluúčast partnerských pracovišť</w:t>
      </w:r>
    </w:p>
    <w:p w:rsidR="00905A98" w:rsidRDefault="00835C90">
      <w:pPr>
        <w:spacing w:before="170" w:after="170"/>
        <w:jc w:val="both"/>
        <w:rPr>
          <w:rFonts w:hint="eastAsia"/>
          <w:lang w:val="cs-CZ"/>
        </w:rPr>
      </w:pPr>
      <w:r>
        <w:rPr>
          <w:rFonts w:ascii="Times New Roman" w:hAnsi="Times New Roman" w:cs="Times New Roman"/>
          <w:lang w:val="cs-CZ" w:eastAsia="cs-CZ"/>
        </w:rPr>
        <w:t>Spoluúčast partnerských pracovišť na finančním, organizačním a personálním zabezpečení doktorského studia a jejich zastoupení v oborové radě a zkušebních komisích je předmětem dvoustranných dohod mezi univerzitou nebo fakultou a těmito pracovišti, případně předmětem společné akreditace dle § 81 zákona o vysokých školách.</w:t>
      </w:r>
    </w:p>
    <w:p w:rsidR="00905A98" w:rsidRDefault="00835C90">
      <w:pPr>
        <w:pStyle w:val="clanek"/>
        <w:rPr>
          <w:lang w:val="cs-CZ"/>
        </w:rPr>
      </w:pPr>
      <w:r>
        <w:rPr>
          <w:lang w:val="cs-CZ"/>
        </w:rPr>
        <w:t>Čl. 19</w:t>
      </w:r>
      <w:r>
        <w:rPr>
          <w:lang w:val="cs-CZ"/>
        </w:rPr>
        <w:br/>
        <w:t>Školitel, školicí pracoviště a konzultant</w:t>
      </w:r>
    </w:p>
    <w:p w:rsidR="00905A98" w:rsidRDefault="00835C90">
      <w:pPr>
        <w:numPr>
          <w:ilvl w:val="0"/>
          <w:numId w:val="13"/>
        </w:numPr>
        <w:spacing w:before="170" w:after="170"/>
        <w:jc w:val="both"/>
        <w:rPr>
          <w:rFonts w:hint="eastAsia"/>
          <w:lang w:val="cs-CZ"/>
        </w:rPr>
      </w:pPr>
      <w:r>
        <w:rPr>
          <w:rFonts w:ascii="Times New Roman" w:hAnsi="Times New Roman" w:cs="Times New Roman"/>
          <w:lang w:val="cs-CZ" w:eastAsia="cs-CZ"/>
        </w:rPr>
        <w:t>Při sestavování individuálního studijního plánu a při řešení zadaného výzkumného tématu je studentovi doktorského studia nápomocen školitel, jmenovaný děkanem po projednání ve vědecké radě fakulty. Pokud je navrhovaný školitel profesorem či docentem, projednání ve vědecké radě fakulty není nutné. Děkan jmenuje a odvolává školitele na návrh oborové rady. Jmenování je pak podmíněno písemným souhlasem školitele tuto funkci vykonávat a souhlasem vedoucího školicího pracoviště.</w:t>
      </w:r>
    </w:p>
    <w:p w:rsidR="00905A98" w:rsidRDefault="00835C90">
      <w:pPr>
        <w:numPr>
          <w:ilvl w:val="0"/>
          <w:numId w:val="13"/>
        </w:numPr>
        <w:spacing w:before="170" w:after="170"/>
        <w:jc w:val="both"/>
        <w:rPr>
          <w:rFonts w:hint="eastAsia"/>
          <w:lang w:val="cs-CZ"/>
        </w:rPr>
      </w:pPr>
      <w:r>
        <w:rPr>
          <w:rFonts w:ascii="Times New Roman" w:hAnsi="Times New Roman" w:cs="Times New Roman"/>
          <w:lang w:val="cs-CZ" w:eastAsia="cs-CZ"/>
        </w:rPr>
        <w:t>Školicím pracovištěm se rozumí zpravidla pracoviště školitele, tj. pracoviště, na které byl školitel zaměstnavatelem určen k výkonu práce v rámci svého pracovněprávního vztahu; není-li pracoviště školitele jednoznačně určeno nebo není-li pracoviště školitele na fakultě, určí školicí pracoviště děkan na základě návrhu oborové rady.</w:t>
      </w:r>
    </w:p>
    <w:p w:rsidR="00905A98" w:rsidRDefault="00835C90">
      <w:pPr>
        <w:numPr>
          <w:ilvl w:val="0"/>
          <w:numId w:val="13"/>
        </w:numPr>
        <w:spacing w:before="170" w:after="170"/>
        <w:jc w:val="both"/>
        <w:rPr>
          <w:rFonts w:hint="eastAsia"/>
          <w:lang w:val="cs-CZ"/>
        </w:rPr>
      </w:pPr>
      <w:r>
        <w:rPr>
          <w:rFonts w:ascii="Times New Roman" w:hAnsi="Times New Roman" w:cs="Times New Roman"/>
          <w:lang w:val="cs-CZ" w:eastAsia="cs-CZ"/>
        </w:rPr>
        <w:t>Školitel může doporučit ustanovení konzultanta z řad pedagogických, vědeckých nebo odborných pracovníků fakulty, partnerských pracovišť či jiných organizací. Konzultant musí být svými speciálními odbornými znalostmi nebo metodickými a technickými možnostmi schopen vést studenta v rámci určité etapy doktorského studia. Konzultanta pouze s jeho předchozím písemným souhlasem jmenuje děkan, který je rovněž oprávněn ho odvolat. Jmenování a odvolání se děje vždy na návrh oborové rady.</w:t>
      </w:r>
    </w:p>
    <w:p w:rsidR="00905A98" w:rsidRDefault="00835C90">
      <w:pPr>
        <w:pStyle w:val="clanek"/>
        <w:rPr>
          <w:lang w:val="cs-CZ"/>
        </w:rPr>
      </w:pPr>
      <w:r>
        <w:rPr>
          <w:lang w:val="cs-CZ"/>
        </w:rPr>
        <w:t>Čl. 20</w:t>
      </w:r>
      <w:r>
        <w:rPr>
          <w:lang w:val="cs-CZ"/>
        </w:rPr>
        <w:br/>
        <w:t>Individuální studijní plán</w:t>
      </w:r>
      <w:r>
        <w:rPr>
          <w:lang w:val="cs-CZ"/>
        </w:rPr>
        <w:br/>
      </w:r>
      <w:r>
        <w:rPr>
          <w:b w:val="0"/>
          <w:lang w:val="cs-CZ"/>
        </w:rPr>
        <w:t>(K čl. 10 odst. 6 Řádu)</w:t>
      </w:r>
    </w:p>
    <w:p w:rsidR="00905A98" w:rsidRDefault="00835C90">
      <w:pPr>
        <w:numPr>
          <w:ilvl w:val="0"/>
          <w:numId w:val="14"/>
        </w:numPr>
        <w:spacing w:before="170" w:after="170"/>
        <w:jc w:val="both"/>
        <w:rPr>
          <w:rFonts w:hint="eastAsia"/>
          <w:lang w:val="cs-CZ"/>
        </w:rPr>
      </w:pPr>
      <w:r>
        <w:rPr>
          <w:rFonts w:ascii="Times New Roman" w:hAnsi="Times New Roman" w:cs="Times New Roman"/>
          <w:lang w:val="cs-CZ" w:eastAsia="cs-CZ"/>
        </w:rPr>
        <w:t>Nezbytným předpokladem pro schválení individuálního studijního plánu oborovou radou je souhlas vedoucího školicího pracoviště s tímto plánem. Individuální studijní plán obsahuje zejména zadané téma disertační práce, výčet studijních povinností, vědeckých, výzkumných nebo dalších tvůrčích povinností a dále plánovaných či doporučených zahraničních pobytů nebo jiných stáží anebo pedagogických aktivit (např. pomoc při zkouškách, vedení výuky) zpravidla detailně rozpracovaný pro první rok studia.</w:t>
      </w:r>
    </w:p>
    <w:p w:rsidR="00905A98" w:rsidRDefault="00835C90">
      <w:pPr>
        <w:numPr>
          <w:ilvl w:val="0"/>
          <w:numId w:val="14"/>
        </w:numPr>
        <w:spacing w:before="170" w:after="170"/>
        <w:jc w:val="both"/>
        <w:rPr>
          <w:rFonts w:hint="eastAsia"/>
          <w:lang w:val="cs-CZ"/>
        </w:rPr>
      </w:pPr>
      <w:r>
        <w:rPr>
          <w:rFonts w:ascii="Times New Roman" w:hAnsi="Times New Roman" w:cs="Times New Roman"/>
          <w:lang w:val="cs-CZ" w:eastAsia="cs-CZ"/>
        </w:rPr>
        <w:t>Součástí každého individuálního studijního plánu je též doktorská zkouška z anglického jazyka, nejedná-li se o studenta zapsaného ke studiu ve studijním programu uskutečňovaném v anglickém jazyce. K obsahu této zkoušky se vyjadřuje oborová rada.</w:t>
      </w:r>
    </w:p>
    <w:p w:rsidR="00905A98" w:rsidRDefault="00835C90">
      <w:pPr>
        <w:pStyle w:val="clanek"/>
        <w:rPr>
          <w:lang w:val="cs-CZ"/>
        </w:rPr>
      </w:pPr>
      <w:r>
        <w:rPr>
          <w:lang w:val="cs-CZ"/>
        </w:rPr>
        <w:lastRenderedPageBreak/>
        <w:t>Čl. 21</w:t>
      </w:r>
      <w:r>
        <w:rPr>
          <w:lang w:val="cs-CZ"/>
        </w:rPr>
        <w:br/>
        <w:t>Roční kontrola studia a upřesnění individuálního studijního plánu</w:t>
      </w:r>
    </w:p>
    <w:p w:rsidR="00905A98" w:rsidRDefault="00835C90">
      <w:pPr>
        <w:numPr>
          <w:ilvl w:val="0"/>
          <w:numId w:val="15"/>
        </w:numPr>
        <w:spacing w:before="170" w:after="170"/>
        <w:jc w:val="both"/>
        <w:rPr>
          <w:rFonts w:hint="eastAsia"/>
          <w:lang w:val="cs-CZ"/>
        </w:rPr>
      </w:pPr>
      <w:r>
        <w:rPr>
          <w:rFonts w:ascii="Times New Roman" w:hAnsi="Times New Roman" w:cs="Times New Roman"/>
          <w:lang w:val="cs-CZ" w:eastAsia="cs-CZ"/>
        </w:rPr>
        <w:t>Student na konci každého roku studia vypracuje stručnou výroční zprávu shrnující a hodnotící jeho práci, výsledky a plnění individuálního studijního plánu v tomto roce. Zároveň ve spolupráci se školitelem připraví podobu individuálního studijního plánu pro další rok studia.</w:t>
      </w:r>
    </w:p>
    <w:p w:rsidR="00905A98" w:rsidRDefault="00835C90">
      <w:pPr>
        <w:numPr>
          <w:ilvl w:val="0"/>
          <w:numId w:val="15"/>
        </w:numPr>
        <w:spacing w:before="170" w:after="170"/>
        <w:jc w:val="both"/>
        <w:rPr>
          <w:rFonts w:hint="eastAsia"/>
          <w:lang w:val="cs-CZ"/>
        </w:rPr>
      </w:pPr>
      <w:r>
        <w:rPr>
          <w:rFonts w:ascii="Times New Roman" w:hAnsi="Times New Roman" w:cs="Times New Roman"/>
          <w:lang w:val="cs-CZ" w:eastAsia="cs-CZ"/>
        </w:rPr>
        <w:t>Školitel, zpravidla na základě výroční zprávy studenta, provádí jednou ročně hodnocení studenta a podává o něm oborové radě zprávu, jejíž přílohou je výroční zpráva studenta. Oborová rada pak projednává a schvaluje hodnocení předložené školitelem a závěr svého hodnocení předává děkanovi. V případě hodnocení podle čl. 10 odst. 8 písm. b) Řádu rozhodne oborová rada, zda navrhne studentovi snížení doktorandského stipendia podle čl. 12 odst. 6 Stipendijního řádu Univerzity Karlovy.</w:t>
      </w:r>
    </w:p>
    <w:p w:rsidR="00905A98" w:rsidRDefault="00835C90">
      <w:pPr>
        <w:numPr>
          <w:ilvl w:val="0"/>
          <w:numId w:val="15"/>
        </w:numPr>
        <w:spacing w:before="170" w:after="170"/>
        <w:jc w:val="both"/>
        <w:rPr>
          <w:rFonts w:hint="eastAsia"/>
          <w:lang w:val="cs-CZ"/>
        </w:rPr>
      </w:pPr>
      <w:r>
        <w:rPr>
          <w:rFonts w:ascii="Times New Roman" w:hAnsi="Times New Roman" w:cs="Times New Roman"/>
          <w:lang w:val="cs-CZ" w:eastAsia="cs-CZ"/>
        </w:rPr>
        <w:t xml:space="preserve">Oborová rada se zároveň vyjadřuje k podobě individuálního </w:t>
      </w:r>
      <w:proofErr w:type="gramStart"/>
      <w:r>
        <w:rPr>
          <w:rFonts w:ascii="Times New Roman" w:hAnsi="Times New Roman" w:cs="Times New Roman"/>
          <w:lang w:val="cs-CZ" w:eastAsia="cs-CZ"/>
        </w:rPr>
        <w:t>studijnímu</w:t>
      </w:r>
      <w:proofErr w:type="gramEnd"/>
      <w:r>
        <w:rPr>
          <w:rFonts w:ascii="Times New Roman" w:hAnsi="Times New Roman" w:cs="Times New Roman"/>
          <w:lang w:val="cs-CZ" w:eastAsia="cs-CZ"/>
        </w:rPr>
        <w:t xml:space="preserve"> plánu pro další rok studia, případně po dohodě se školitelem provádí jeho změnu.</w:t>
      </w:r>
    </w:p>
    <w:p w:rsidR="00905A98" w:rsidRDefault="00835C90">
      <w:pPr>
        <w:numPr>
          <w:ilvl w:val="0"/>
          <w:numId w:val="15"/>
        </w:numPr>
        <w:spacing w:before="170" w:after="170"/>
        <w:jc w:val="both"/>
        <w:rPr>
          <w:rFonts w:hint="eastAsia"/>
          <w:lang w:val="cs-CZ"/>
        </w:rPr>
      </w:pPr>
      <w:r>
        <w:rPr>
          <w:rFonts w:ascii="Times New Roman" w:hAnsi="Times New Roman" w:cs="Times New Roman"/>
          <w:lang w:val="cs-CZ" w:eastAsia="cs-CZ"/>
        </w:rPr>
        <w:t>O výsledku hodnocení je student zpraven studijním oddělením.</w:t>
      </w:r>
    </w:p>
    <w:p w:rsidR="00905A98" w:rsidRDefault="00835C90">
      <w:pPr>
        <w:pStyle w:val="clanek"/>
        <w:rPr>
          <w:lang w:val="cs-CZ"/>
        </w:rPr>
      </w:pPr>
      <w:r>
        <w:rPr>
          <w:lang w:val="cs-CZ"/>
        </w:rPr>
        <w:t>Čl. 22</w:t>
      </w:r>
      <w:r>
        <w:rPr>
          <w:lang w:val="cs-CZ"/>
        </w:rPr>
        <w:br/>
        <w:t>Studium v zahraničí</w:t>
      </w:r>
    </w:p>
    <w:p w:rsidR="00905A98" w:rsidRDefault="00835C90">
      <w:pPr>
        <w:numPr>
          <w:ilvl w:val="0"/>
          <w:numId w:val="16"/>
        </w:numPr>
        <w:spacing w:before="170" w:after="170"/>
        <w:jc w:val="both"/>
        <w:rPr>
          <w:rFonts w:hint="eastAsia"/>
          <w:lang w:val="cs-CZ"/>
        </w:rPr>
      </w:pPr>
      <w:r>
        <w:rPr>
          <w:rFonts w:ascii="Times New Roman" w:hAnsi="Times New Roman" w:cs="Times New Roman"/>
          <w:lang w:val="cs-CZ" w:eastAsia="cs-CZ"/>
        </w:rPr>
        <w:t>Součástí doktorského studia může být práce na některém zahraničním vědeckém pracovišti. Zkoušky složené během doktorského studia v zahraničí může děkan na návrh garanta doktorského studijního programu uznat jako zkoušky předepsané individuálním studijním plánem.</w:t>
      </w:r>
    </w:p>
    <w:p w:rsidR="00905A98" w:rsidRDefault="00835C90">
      <w:pPr>
        <w:numPr>
          <w:ilvl w:val="0"/>
          <w:numId w:val="16"/>
        </w:numPr>
        <w:spacing w:before="170" w:after="170"/>
        <w:jc w:val="both"/>
        <w:rPr>
          <w:rFonts w:hint="eastAsia"/>
          <w:lang w:val="cs-CZ"/>
        </w:rPr>
      </w:pPr>
      <w:r>
        <w:rPr>
          <w:rFonts w:ascii="Times New Roman" w:hAnsi="Times New Roman" w:cs="Times New Roman"/>
          <w:lang w:val="cs-CZ" w:eastAsia="cs-CZ"/>
        </w:rPr>
        <w:t xml:space="preserve">V případě mezinárodních studijních programů typu joint </w:t>
      </w:r>
      <w:proofErr w:type="spellStart"/>
      <w:r>
        <w:rPr>
          <w:rFonts w:ascii="Times New Roman" w:hAnsi="Times New Roman" w:cs="Times New Roman"/>
          <w:lang w:val="cs-CZ" w:eastAsia="cs-CZ"/>
        </w:rPr>
        <w:t>degree</w:t>
      </w:r>
      <w:proofErr w:type="spellEnd"/>
      <w:r>
        <w:rPr>
          <w:rFonts w:ascii="Times New Roman" w:hAnsi="Times New Roman" w:cs="Times New Roman"/>
          <w:lang w:val="cs-CZ" w:eastAsia="cs-CZ"/>
        </w:rPr>
        <w:t xml:space="preserve"> stanoví případné výjimky z tohoto opatření a případná doplnění příslušná smlouva mezi univerzitami, na jejímž základě studium probíhá.</w:t>
      </w:r>
    </w:p>
    <w:p w:rsidR="00905A98" w:rsidRDefault="00835C90">
      <w:pPr>
        <w:pStyle w:val="clanek"/>
        <w:rPr>
          <w:lang w:val="cs-CZ"/>
        </w:rPr>
      </w:pPr>
      <w:r>
        <w:rPr>
          <w:lang w:val="cs-CZ"/>
        </w:rPr>
        <w:t>Čl. 23</w:t>
      </w:r>
      <w:r>
        <w:rPr>
          <w:lang w:val="cs-CZ"/>
        </w:rPr>
        <w:br/>
        <w:t>Státní doktorská zkouška</w:t>
      </w:r>
    </w:p>
    <w:p w:rsidR="00905A98" w:rsidRDefault="00835C90">
      <w:pPr>
        <w:numPr>
          <w:ilvl w:val="0"/>
          <w:numId w:val="17"/>
        </w:numPr>
        <w:spacing w:before="170" w:after="170"/>
        <w:jc w:val="both"/>
        <w:rPr>
          <w:rFonts w:hint="eastAsia"/>
          <w:lang w:val="cs-CZ"/>
        </w:rPr>
      </w:pPr>
      <w:r>
        <w:rPr>
          <w:rFonts w:ascii="Times New Roman" w:hAnsi="Times New Roman" w:cs="Times New Roman"/>
          <w:lang w:val="cs-CZ" w:eastAsia="cs-CZ"/>
        </w:rPr>
        <w:t>Předsedu a další členy nejméně pětičlenné zkušební komise pro státní doktorskou zkoušku jmenuje děkan. Členové komise, kteří nejsou profesory nebo docenty, musejí být schváleni vědeckou radou fakulty.</w:t>
      </w:r>
    </w:p>
    <w:p w:rsidR="00905A98" w:rsidRDefault="00835C90">
      <w:pPr>
        <w:numPr>
          <w:ilvl w:val="0"/>
          <w:numId w:val="17"/>
        </w:numPr>
        <w:spacing w:before="170" w:after="170"/>
        <w:jc w:val="both"/>
        <w:rPr>
          <w:rFonts w:hint="eastAsia"/>
          <w:lang w:val="cs-CZ"/>
        </w:rPr>
      </w:pPr>
      <w:r>
        <w:rPr>
          <w:rFonts w:ascii="Times New Roman" w:hAnsi="Times New Roman" w:cs="Times New Roman"/>
          <w:lang w:val="cs-CZ" w:eastAsia="cs-CZ"/>
        </w:rPr>
        <w:t>Alespoň dva členové zkušební komise musejí být vědeckými pracovníky s vědeckou hodností DrSc. nebo profesory a alespoň dva její členové musejí být z jiného než školicího pracoviště a alespoň jeden nesmí být členem akademické obce fakulty. Jedním z členů zkušební komise je zpravidla i školitel.</w:t>
      </w:r>
    </w:p>
    <w:p w:rsidR="00905A98" w:rsidRDefault="00835C90">
      <w:pPr>
        <w:numPr>
          <w:ilvl w:val="0"/>
          <w:numId w:val="17"/>
        </w:numPr>
        <w:spacing w:before="170" w:after="170"/>
        <w:jc w:val="both"/>
        <w:rPr>
          <w:rFonts w:hint="eastAsia"/>
          <w:lang w:val="cs-CZ"/>
        </w:rPr>
      </w:pPr>
      <w:r>
        <w:rPr>
          <w:rFonts w:ascii="Times New Roman" w:hAnsi="Times New Roman" w:cs="Times New Roman"/>
          <w:lang w:val="cs-CZ" w:eastAsia="cs-CZ"/>
        </w:rPr>
        <w:t>Termín a místo konání státní doktorské zkoušky na základě návrhu předsedy zkušební komise stanoví děkan.</w:t>
      </w:r>
    </w:p>
    <w:p w:rsidR="00905A98" w:rsidRDefault="00835C90">
      <w:pPr>
        <w:numPr>
          <w:ilvl w:val="0"/>
          <w:numId w:val="17"/>
        </w:numPr>
        <w:spacing w:before="170" w:after="170"/>
        <w:jc w:val="both"/>
        <w:rPr>
          <w:rFonts w:hint="eastAsia"/>
          <w:lang w:val="cs-CZ"/>
        </w:rPr>
      </w:pPr>
      <w:r>
        <w:rPr>
          <w:rFonts w:ascii="Times New Roman" w:hAnsi="Times New Roman" w:cs="Times New Roman"/>
          <w:lang w:val="cs-CZ" w:eastAsia="cs-CZ"/>
        </w:rPr>
        <w:t>Termín státní doktorské zkoušky musí být vyhlášen a zveřejněn ve veřejné části webových stránek fakulty nejméně dva týdny před stanoveným termínem. Oznámení o konání zkoušky se zasílá členům komise pro státní doktorskou zkoušku, školiteli a studentovi.</w:t>
      </w:r>
    </w:p>
    <w:p w:rsidR="00905A98" w:rsidRDefault="00835C90">
      <w:pPr>
        <w:numPr>
          <w:ilvl w:val="0"/>
          <w:numId w:val="17"/>
        </w:numPr>
        <w:spacing w:before="170" w:after="170"/>
        <w:jc w:val="both"/>
        <w:rPr>
          <w:rFonts w:hint="eastAsia"/>
          <w:lang w:val="cs-CZ"/>
        </w:rPr>
      </w:pPr>
      <w:r>
        <w:rPr>
          <w:rFonts w:ascii="Times New Roman" w:hAnsi="Times New Roman" w:cs="Times New Roman"/>
          <w:lang w:val="cs-CZ" w:eastAsia="cs-CZ"/>
        </w:rPr>
        <w:lastRenderedPageBreak/>
        <w:t>Státní doktorská zkouška se může konat, jsou-li přítomni alespoň tři členové zkušební komise.</w:t>
      </w:r>
    </w:p>
    <w:p w:rsidR="00905A98" w:rsidRDefault="00835C90">
      <w:pPr>
        <w:numPr>
          <w:ilvl w:val="0"/>
          <w:numId w:val="17"/>
        </w:numPr>
        <w:spacing w:before="170" w:after="170"/>
        <w:jc w:val="both"/>
        <w:rPr>
          <w:rFonts w:hint="eastAsia"/>
          <w:lang w:val="cs-CZ"/>
        </w:rPr>
      </w:pPr>
      <w:r>
        <w:rPr>
          <w:rFonts w:ascii="Times New Roman" w:hAnsi="Times New Roman" w:cs="Times New Roman"/>
          <w:lang w:val="cs-CZ" w:eastAsia="cs-CZ"/>
        </w:rPr>
        <w:t>O klasifikaci rozhoduje komise na neveřejném zasedání po poradě hlasováním, a to zdvižením ruky. Požádá-li o to kterýkoli člen komise, hlasuje se tajně, a to pomocí hlasovacích lístků. Přítomní členové komise se nemohou zdržet hlasování. Komise rozhoduje většinou, při rovnosti hlasů nebo při nedosažení většiny hlasů je student klasifikován klasifikací pro něj příznivější.</w:t>
      </w:r>
    </w:p>
    <w:p w:rsidR="00905A98" w:rsidRDefault="00835C90">
      <w:pPr>
        <w:pStyle w:val="clanek"/>
        <w:rPr>
          <w:lang w:val="cs-CZ"/>
        </w:rPr>
      </w:pPr>
      <w:r>
        <w:rPr>
          <w:lang w:val="cs-CZ"/>
        </w:rPr>
        <w:t>Čl. 24</w:t>
      </w:r>
      <w:r>
        <w:rPr>
          <w:lang w:val="cs-CZ"/>
        </w:rPr>
        <w:br/>
        <w:t>Disertační práce a její obhajoba</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Obhajobu disertační práce lze konat pouze po splnění všech úkolů individuálního studijního plánu a úspěšném složení státní doktorské zkoušky.</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Disertační práce musí být předložena v úpravě předepsané opatřením děkana v českém, slovenském nebo anglickém jazyce. Práce musí obsahovat abstrakt v jazyce práce a v anglickém jazyce, a dále seznam vlastních publikovaných a k publikaci přijatých publikací, jejichž výsledky jsou v práci použity. Se souhlasem děkana může být disertační práce napsána i v jiném jazyce. Formální náležitosti práce upravuje opatření děkana.</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Jako disertační práci lze předložit i soubor tematicky jednotných odborných publikací doplněný jednotícím komentářem.</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Vypracovanou disertační práci odevzdá student v elektronické podobě prostřednictvím SIS. Současně student vloží do SIS také abstrakt práce v anglickém jazyce, a je-li zapsán ve studijním programu uskutečňovaném v českém jazyce, pak vloží do SIS též abstrakt v českém jazyce.</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K obhajobě student předloží:</w:t>
      </w:r>
    </w:p>
    <w:p w:rsidR="00905A98" w:rsidRDefault="00835C90">
      <w:pPr>
        <w:numPr>
          <w:ilvl w:val="1"/>
          <w:numId w:val="18"/>
        </w:numPr>
        <w:spacing w:before="170" w:after="170"/>
        <w:jc w:val="both"/>
        <w:rPr>
          <w:rFonts w:hint="eastAsia"/>
          <w:lang w:val="cs-CZ"/>
        </w:rPr>
      </w:pPr>
      <w:r>
        <w:rPr>
          <w:rFonts w:ascii="Times New Roman" w:hAnsi="Times New Roman" w:cs="Times New Roman"/>
          <w:lang w:val="cs-CZ" w:eastAsia="cs-CZ"/>
        </w:rPr>
        <w:t>stručný životopis se základními osobními údaji,</w:t>
      </w:r>
    </w:p>
    <w:p w:rsidR="00905A98" w:rsidRDefault="00835C90">
      <w:pPr>
        <w:numPr>
          <w:ilvl w:val="1"/>
          <w:numId w:val="18"/>
        </w:numPr>
        <w:spacing w:before="170" w:after="170"/>
        <w:jc w:val="both"/>
        <w:rPr>
          <w:rFonts w:hint="eastAsia"/>
          <w:lang w:val="cs-CZ"/>
        </w:rPr>
      </w:pPr>
      <w:r>
        <w:rPr>
          <w:rFonts w:ascii="Times New Roman" w:hAnsi="Times New Roman" w:cs="Times New Roman"/>
          <w:lang w:val="cs-CZ" w:eastAsia="cs-CZ"/>
        </w:rPr>
        <w:t>autoreferát disertační práce v anglickém jazyce,</w:t>
      </w:r>
    </w:p>
    <w:p w:rsidR="00905A98" w:rsidRDefault="00835C90">
      <w:pPr>
        <w:numPr>
          <w:ilvl w:val="1"/>
          <w:numId w:val="18"/>
        </w:numPr>
        <w:spacing w:before="170" w:after="170"/>
        <w:jc w:val="both"/>
        <w:rPr>
          <w:rFonts w:hint="eastAsia"/>
          <w:lang w:val="cs-CZ"/>
        </w:rPr>
      </w:pPr>
      <w:r>
        <w:rPr>
          <w:rFonts w:ascii="Times New Roman" w:hAnsi="Times New Roman" w:cs="Times New Roman"/>
          <w:lang w:val="cs-CZ" w:eastAsia="cs-CZ"/>
        </w:rPr>
        <w:t>seznam publikovaných prací nebo prací přijatých k uveřejnění a jejich případné citace.</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Minimální počet výtisků disertační práce, které student odevzdá na studijní oddělení, stanoví opatření děkana na základě doporučení oborové rady.</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Předsedu a další členy nejméně pětičlenné komise pro obhajobu disertační práce jmenuje děkan.</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Členem komise pro obhajobu disertační práce nesmí být konzultant studenta, jehož práce bude obhajována. Alespoň dva členové komise pro obhajobu disertační práce musejí být z jiného než školicího pracoviště a alespoň jeden nesmí být členem akademické obce fakulty.</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 xml:space="preserve">Komise pro obhajobu disertační práce ustanoví dva oponenty, z nichž alespoň jeden nesmí být ani ze školicího pracoviště ani z fakulty; oponenty může komise ustanovit i ze svých řad. Oponentem nesmí být konzultant studenta, jehož práce bude obhajována. Jména oponentů komise oznámí děkanovi. Na základě tohoto oznámení děkan oponenty vyrozumí. Oponenti vypracují posudky na disertační práci. Školitel vypracuje stanovisko k disertační práci </w:t>
      </w:r>
      <w:r>
        <w:rPr>
          <w:rFonts w:ascii="Times New Roman" w:hAnsi="Times New Roman" w:cs="Times New Roman"/>
          <w:lang w:val="cs-CZ" w:eastAsia="cs-CZ"/>
        </w:rPr>
        <w:lastRenderedPageBreak/>
        <w:t>a vyjádření ke studentovi. Student má právo seznámit se s posudky oponentů a stanoviskem školitele nejpozději pět pracovních dní před termínem konání obhajoby.</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Na základě návrhu předsedy komise pro obhajobu disertační práce, před níž bude obhajoba probíhat, stanoví děkan datum a místo konání obhajoby.</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Termín obhajoby musí být vyhlášen a zveřejněn ve veřejné části webových stránek fakulty nejméně dva týdny před stanoveným datem. Po tuto dobu je disertační práce veřejně přístupná na studijním oddělení, a dále prostřednictvím SIS, pokud děkan na základě žádosti školitele nerozhodne o vyloučení práce ze zveřejnění. Oznámení o konání obhajoby se zasílá členům komise pro obhajobu doktorské disertační práce, oponentům, školiteli a studentovi; členům komise pro obhajobu se zasílá též autoreferát, stanovisko školitele a posudky oponentů, dále se jim samotná práce zpřístupňuje v elektronické podobě.</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Obhajoba se může konat, jsou-li přítomni alespoň tři členové komise pro obhajobu disertační práce.</w:t>
      </w:r>
    </w:p>
    <w:p w:rsidR="00905A98" w:rsidRDefault="00835C90">
      <w:pPr>
        <w:numPr>
          <w:ilvl w:val="0"/>
          <w:numId w:val="18"/>
        </w:numPr>
        <w:spacing w:before="170" w:after="170"/>
        <w:jc w:val="both"/>
        <w:rPr>
          <w:rFonts w:hint="eastAsia"/>
          <w:lang w:val="cs-CZ"/>
        </w:rPr>
      </w:pPr>
      <w:r>
        <w:rPr>
          <w:rFonts w:ascii="Times New Roman" w:hAnsi="Times New Roman" w:cs="Times New Roman"/>
          <w:lang w:val="cs-CZ" w:eastAsia="cs-CZ"/>
        </w:rPr>
        <w:t>O klasifikaci rozhoduje komise na neveřejném zasedání po poradě hlasováním, a to zdvižením ruky. Požádá-li o to kterýkoli člen komise, hlasuje se tajně, a to pomocí hlasovacích lístků. Přítomní členové komise se nemohou zdržet hlasování. Hlasování řídí předseda zkušební komise. Komise rozhoduje většinou, při rovnosti hlasů nebo při nedosažení většiny hlasů je student klasifikován klasifikací pro něj příznivější. Neveřejného zasedání se vždy mohou zúčastnit oponenti a školitel.</w:t>
      </w:r>
    </w:p>
    <w:p w:rsidR="00905A98" w:rsidRDefault="00835C90">
      <w:pPr>
        <w:pStyle w:val="clanek"/>
        <w:rPr>
          <w:lang w:val="cs-CZ"/>
        </w:rPr>
      </w:pPr>
      <w:r>
        <w:rPr>
          <w:lang w:val="cs-CZ"/>
        </w:rPr>
        <w:t>Část IV</w:t>
      </w:r>
      <w:r>
        <w:rPr>
          <w:lang w:val="cs-CZ"/>
        </w:rPr>
        <w:br/>
        <w:t>Společná, přechodná a závěrečná ustanovení</w:t>
      </w:r>
    </w:p>
    <w:p w:rsidR="00905A98" w:rsidRDefault="00835C90">
      <w:pPr>
        <w:pStyle w:val="clanek"/>
        <w:rPr>
          <w:lang w:val="cs-CZ"/>
        </w:rPr>
      </w:pPr>
      <w:r>
        <w:rPr>
          <w:lang w:val="cs-CZ"/>
        </w:rPr>
        <w:t>Čl. 25</w:t>
      </w:r>
      <w:r>
        <w:rPr>
          <w:lang w:val="cs-CZ"/>
        </w:rPr>
        <w:br/>
        <w:t>Příslušnost k vyřizování podání studentů</w:t>
      </w:r>
      <w:r>
        <w:rPr>
          <w:lang w:val="cs-CZ"/>
        </w:rPr>
        <w:br/>
      </w:r>
      <w:r>
        <w:rPr>
          <w:b w:val="0"/>
          <w:lang w:val="cs-CZ"/>
        </w:rPr>
        <w:t>(K čl. 17 odst. 3 Řádu)</w:t>
      </w:r>
    </w:p>
    <w:p w:rsidR="00905A98" w:rsidRDefault="00835C90">
      <w:pPr>
        <w:spacing w:before="170" w:after="170"/>
        <w:jc w:val="both"/>
        <w:rPr>
          <w:rFonts w:hint="eastAsia"/>
          <w:lang w:val="cs-CZ"/>
        </w:rPr>
      </w:pPr>
      <w:r>
        <w:rPr>
          <w:rFonts w:ascii="Times New Roman" w:hAnsi="Times New Roman" w:cs="Times New Roman"/>
          <w:lang w:val="cs-CZ" w:eastAsia="cs-CZ"/>
        </w:rPr>
        <w:t>K vyřizování podání studentů ve věcech organizace studia je příslušný proděkan pro studijní záležitosti, přezkoumání vyřízení podání pak přísluší děkanovi.</w:t>
      </w:r>
    </w:p>
    <w:p w:rsidR="00905A98" w:rsidRDefault="00835C90">
      <w:pPr>
        <w:pStyle w:val="clanek"/>
        <w:rPr>
          <w:lang w:val="cs-CZ"/>
        </w:rPr>
      </w:pPr>
      <w:r>
        <w:rPr>
          <w:lang w:val="cs-CZ"/>
        </w:rPr>
        <w:t>Čl. 26</w:t>
      </w:r>
      <w:r>
        <w:rPr>
          <w:lang w:val="cs-CZ"/>
        </w:rPr>
        <w:br/>
        <w:t>Změna studijního oboru</w:t>
      </w:r>
    </w:p>
    <w:p w:rsidR="00905A98" w:rsidRDefault="00835C90">
      <w:pPr>
        <w:numPr>
          <w:ilvl w:val="0"/>
          <w:numId w:val="19"/>
        </w:numPr>
        <w:spacing w:before="170" w:after="170"/>
        <w:jc w:val="both"/>
        <w:rPr>
          <w:rFonts w:hint="eastAsia"/>
          <w:lang w:val="cs-CZ"/>
        </w:rPr>
      </w:pPr>
      <w:r>
        <w:rPr>
          <w:rFonts w:ascii="Times New Roman" w:hAnsi="Times New Roman" w:cs="Times New Roman"/>
          <w:lang w:val="cs-CZ" w:eastAsia="cs-CZ"/>
        </w:rPr>
        <w:t>U studijních programů a oborů akreditovaných před účinností tohoto předpisu platí až do konce jejich akreditace následující ustanovení: Děkan je oprávněn na žádost studenta zařadit studenta v průběhu jeho studia do jiného studijního oboru v rámci jednoho studijního programu; taková změna je možná nejvýše jednou během studia.</w:t>
      </w:r>
    </w:p>
    <w:p w:rsidR="00905A98" w:rsidRDefault="00835C90">
      <w:pPr>
        <w:numPr>
          <w:ilvl w:val="0"/>
          <w:numId w:val="19"/>
        </w:numPr>
        <w:spacing w:before="170" w:after="170"/>
        <w:jc w:val="both"/>
        <w:rPr>
          <w:rFonts w:hint="eastAsia"/>
          <w:lang w:val="cs-CZ"/>
        </w:rPr>
      </w:pPr>
      <w:r>
        <w:rPr>
          <w:rFonts w:ascii="Times New Roman" w:hAnsi="Times New Roman" w:cs="Times New Roman"/>
          <w:lang w:val="cs-CZ" w:eastAsia="cs-CZ"/>
        </w:rPr>
        <w:t>Jinak se na uskutečňování studijních oborů v rámci studijních programů akreditovaných podle zákona o vysokých školách ve znění účinném před 1. zářím 2016 přiměřeně vztahují ustanovení těchto Pravidel o uskutečňování studijních programů.</w:t>
      </w:r>
    </w:p>
    <w:p w:rsidR="00905A98" w:rsidRDefault="00835C90">
      <w:pPr>
        <w:pStyle w:val="clanek"/>
        <w:rPr>
          <w:lang w:val="cs-CZ"/>
        </w:rPr>
      </w:pPr>
      <w:r>
        <w:rPr>
          <w:lang w:val="cs-CZ"/>
        </w:rPr>
        <w:lastRenderedPageBreak/>
        <w:t>Čl. 27</w:t>
      </w:r>
      <w:r>
        <w:rPr>
          <w:lang w:val="cs-CZ"/>
        </w:rPr>
        <w:br/>
        <w:t>Závěrečná ustanovení</w:t>
      </w:r>
    </w:p>
    <w:p w:rsidR="00905A98" w:rsidRDefault="00835C90">
      <w:pPr>
        <w:numPr>
          <w:ilvl w:val="0"/>
          <w:numId w:val="20"/>
        </w:numPr>
        <w:spacing w:before="170" w:after="170"/>
        <w:jc w:val="both"/>
        <w:rPr>
          <w:rFonts w:hint="eastAsia"/>
          <w:lang w:val="cs-CZ"/>
        </w:rPr>
      </w:pPr>
      <w:r>
        <w:rPr>
          <w:rFonts w:ascii="Times New Roman" w:hAnsi="Times New Roman" w:cs="Times New Roman"/>
          <w:lang w:val="cs-CZ" w:eastAsia="cs-CZ"/>
        </w:rPr>
        <w:t>Zrušují se Pravidla pro organizaci studia na Matematicko-fyzikální fakultě schválená akademickým senátem fakulty dne 15. ledna 2014.</w:t>
      </w:r>
    </w:p>
    <w:p w:rsidR="00905A98" w:rsidRDefault="00835C90">
      <w:pPr>
        <w:numPr>
          <w:ilvl w:val="0"/>
          <w:numId w:val="20"/>
        </w:numPr>
        <w:spacing w:before="170" w:after="170"/>
        <w:jc w:val="both"/>
        <w:rPr>
          <w:rFonts w:hint="eastAsia"/>
          <w:lang w:val="cs-CZ"/>
        </w:rPr>
      </w:pPr>
      <w:r>
        <w:rPr>
          <w:rFonts w:ascii="Times New Roman" w:hAnsi="Times New Roman" w:cs="Times New Roman"/>
          <w:lang w:val="cs-CZ" w:eastAsia="cs-CZ"/>
        </w:rPr>
        <w:t>Tento předpis byl schválen akademickým senátem fakulty dne 14. června 2017.</w:t>
      </w:r>
    </w:p>
    <w:p w:rsidR="00905A98" w:rsidRDefault="00835C90">
      <w:pPr>
        <w:numPr>
          <w:ilvl w:val="0"/>
          <w:numId w:val="20"/>
        </w:numPr>
        <w:spacing w:before="170" w:after="170"/>
        <w:jc w:val="both"/>
        <w:rPr>
          <w:rFonts w:hint="eastAsia"/>
          <w:lang w:val="cs-CZ"/>
        </w:rPr>
      </w:pPr>
      <w:r>
        <w:rPr>
          <w:rFonts w:ascii="Times New Roman" w:hAnsi="Times New Roman" w:cs="Times New Roman"/>
          <w:lang w:val="cs-CZ" w:eastAsia="cs-CZ"/>
        </w:rPr>
        <w:t>Tento předpis nabývá platnosti dnem schválení akademickým senátem univerzity.</w:t>
      </w:r>
      <w:r>
        <w:rPr>
          <w:rStyle w:val="FootnoteAnchor"/>
          <w:rFonts w:ascii="Times New Roman" w:hAnsi="Times New Roman" w:cs="Times New Roman"/>
          <w:lang w:val="cs-CZ" w:eastAsia="cs-CZ"/>
        </w:rPr>
        <w:footnoteReference w:id="1"/>
      </w:r>
      <w:r>
        <w:rPr>
          <w:rFonts w:ascii="Times New Roman" w:hAnsi="Times New Roman" w:cs="Times New Roman"/>
          <w:vertAlign w:val="superscript"/>
          <w:lang w:val="cs-CZ" w:eastAsia="cs-CZ"/>
        </w:rPr>
        <w:t>)</w:t>
      </w:r>
    </w:p>
    <w:p w:rsidR="00905A98" w:rsidRDefault="00835C90">
      <w:pPr>
        <w:numPr>
          <w:ilvl w:val="0"/>
          <w:numId w:val="20"/>
        </w:numPr>
        <w:spacing w:before="170" w:after="170"/>
        <w:jc w:val="both"/>
        <w:rPr>
          <w:rFonts w:hint="eastAsia"/>
          <w:lang w:val="cs-CZ"/>
        </w:rPr>
      </w:pPr>
      <w:r>
        <w:rPr>
          <w:rFonts w:ascii="Times New Roman" w:hAnsi="Times New Roman" w:cs="Times New Roman"/>
          <w:lang w:val="cs-CZ" w:eastAsia="cs-CZ"/>
        </w:rPr>
        <w:t>Tento předpis nabývá účinnosti prvního dne kalendářního měsíce následujícího po dni, kdy nabyl platnosti.</w:t>
      </w:r>
    </w:p>
    <w:tbl>
      <w:tblPr>
        <w:tblW w:w="8702" w:type="dxa"/>
        <w:tblInd w:w="360" w:type="dxa"/>
        <w:tblLook w:val="0000" w:firstRow="0" w:lastRow="0" w:firstColumn="0" w:lastColumn="0" w:noHBand="0" w:noVBand="0"/>
      </w:tblPr>
      <w:tblGrid>
        <w:gridCol w:w="4386"/>
        <w:gridCol w:w="4316"/>
      </w:tblGrid>
      <w:tr w:rsidR="00905A98">
        <w:tc>
          <w:tcPr>
            <w:tcW w:w="4385" w:type="dxa"/>
            <w:shd w:val="clear" w:color="auto" w:fill="auto"/>
          </w:tcPr>
          <w:p w:rsidR="00905A98" w:rsidRDefault="00905A98">
            <w:pPr>
              <w:jc w:val="center"/>
              <w:rPr>
                <w:rFonts w:ascii="Times New Roman" w:hAnsi="Times New Roman" w:cs="Times New Roman"/>
                <w:i/>
                <w:lang w:val="cs-CZ" w:eastAsia="cs-CZ"/>
              </w:rPr>
            </w:pPr>
          </w:p>
          <w:p w:rsidR="00905A98" w:rsidRDefault="00835C90">
            <w:pPr>
              <w:jc w:val="center"/>
              <w:rPr>
                <w:rFonts w:hint="eastAsia"/>
                <w:lang w:val="cs-CZ"/>
              </w:rPr>
            </w:pPr>
            <w:r>
              <w:rPr>
                <w:rFonts w:ascii="Times New Roman" w:hAnsi="Times New Roman" w:cs="Times New Roman"/>
                <w:i/>
                <w:lang w:val="cs-CZ" w:eastAsia="cs-CZ"/>
              </w:rPr>
              <w:t>Doc. RNDr. Zdeněk Drozd, Ph.D.</w:t>
            </w:r>
            <w:r>
              <w:rPr>
                <w:rFonts w:ascii="Times New Roman" w:hAnsi="Times New Roman" w:cs="Times New Roman"/>
                <w:lang w:val="cs-CZ" w:eastAsia="cs-CZ"/>
              </w:rPr>
              <w:t xml:space="preserve"> </w:t>
            </w:r>
          </w:p>
          <w:p w:rsidR="00905A98" w:rsidRDefault="00835C90">
            <w:pPr>
              <w:jc w:val="center"/>
              <w:rPr>
                <w:rFonts w:ascii="Times New Roman" w:hAnsi="Times New Roman" w:cs="Times New Roman"/>
                <w:lang w:eastAsia="cs-CZ"/>
              </w:rPr>
            </w:pPr>
            <w:r>
              <w:rPr>
                <w:rFonts w:ascii="Times New Roman" w:hAnsi="Times New Roman" w:cs="Times New Roman"/>
                <w:lang w:val="cs-CZ" w:eastAsia="cs-CZ"/>
              </w:rPr>
              <w:t>předseda akademického senátu</w:t>
            </w:r>
          </w:p>
        </w:tc>
        <w:tc>
          <w:tcPr>
            <w:tcW w:w="4316" w:type="dxa"/>
            <w:shd w:val="clear" w:color="auto" w:fill="auto"/>
          </w:tcPr>
          <w:p w:rsidR="00905A98" w:rsidRDefault="00905A98">
            <w:pPr>
              <w:jc w:val="center"/>
              <w:rPr>
                <w:rFonts w:ascii="Times New Roman" w:hAnsi="Times New Roman" w:cs="Times New Roman"/>
                <w:i/>
                <w:lang w:val="cs-CZ" w:eastAsia="cs-CZ"/>
              </w:rPr>
            </w:pPr>
          </w:p>
          <w:p w:rsidR="00905A98" w:rsidRDefault="00835C90">
            <w:pPr>
              <w:jc w:val="center"/>
              <w:rPr>
                <w:rFonts w:hint="eastAsia"/>
                <w:lang w:val="cs-CZ"/>
              </w:rPr>
            </w:pPr>
            <w:r>
              <w:rPr>
                <w:rFonts w:ascii="Times New Roman" w:hAnsi="Times New Roman" w:cs="Times New Roman"/>
                <w:i/>
                <w:lang w:val="cs-CZ" w:eastAsia="cs-CZ"/>
              </w:rPr>
              <w:t>Prof. RNDr. Jan Kratochvíl, CSc.</w:t>
            </w:r>
            <w:r>
              <w:rPr>
                <w:rFonts w:ascii="Times New Roman" w:hAnsi="Times New Roman" w:cs="Times New Roman"/>
                <w:lang w:val="cs-CZ" w:eastAsia="cs-CZ"/>
              </w:rPr>
              <w:t xml:space="preserve"> </w:t>
            </w:r>
          </w:p>
          <w:p w:rsidR="00905A98" w:rsidRDefault="00835C90">
            <w:pPr>
              <w:jc w:val="center"/>
              <w:rPr>
                <w:rFonts w:ascii="Times New Roman" w:hAnsi="Times New Roman" w:cs="Times New Roman"/>
                <w:lang w:eastAsia="cs-CZ"/>
              </w:rPr>
            </w:pPr>
            <w:r>
              <w:rPr>
                <w:rFonts w:ascii="Times New Roman" w:hAnsi="Times New Roman" w:cs="Times New Roman"/>
                <w:lang w:val="cs-CZ" w:eastAsia="cs-CZ"/>
              </w:rPr>
              <w:t>děkan</w:t>
            </w:r>
          </w:p>
        </w:tc>
      </w:tr>
      <w:tr w:rsidR="00905A98">
        <w:tc>
          <w:tcPr>
            <w:tcW w:w="8701" w:type="dxa"/>
            <w:gridSpan w:val="2"/>
            <w:shd w:val="clear" w:color="auto" w:fill="auto"/>
          </w:tcPr>
          <w:p w:rsidR="00905A98" w:rsidRDefault="00905A98">
            <w:pPr>
              <w:pStyle w:val="Seznam-seln0"/>
              <w:shd w:val="clear" w:color="auto" w:fill="FFFFFF"/>
              <w:snapToGrid w:val="0"/>
              <w:spacing w:after="0" w:line="312" w:lineRule="atLeast"/>
              <w:jc w:val="center"/>
              <w:rPr>
                <w:lang w:val="cs-CZ" w:eastAsia="cs-CZ"/>
              </w:rPr>
            </w:pPr>
          </w:p>
          <w:p w:rsidR="00905A98" w:rsidRDefault="00905A98">
            <w:pPr>
              <w:pStyle w:val="Seznam-seln0"/>
              <w:shd w:val="clear" w:color="auto" w:fill="FFFFFF"/>
              <w:spacing w:after="0" w:line="312" w:lineRule="atLeast"/>
              <w:jc w:val="center"/>
              <w:rPr>
                <w:lang w:val="cs-CZ" w:eastAsia="cs-CZ"/>
              </w:rPr>
            </w:pPr>
          </w:p>
          <w:p w:rsidR="00905A98" w:rsidRDefault="00835C90">
            <w:pPr>
              <w:pStyle w:val="Seznam-seln0"/>
              <w:shd w:val="clear" w:color="auto" w:fill="FFFFFF"/>
              <w:spacing w:after="0" w:line="312" w:lineRule="atLeast"/>
              <w:jc w:val="center"/>
              <w:rPr>
                <w:i/>
              </w:rPr>
            </w:pPr>
            <w:r>
              <w:rPr>
                <w:i/>
                <w:lang w:val="cs-CZ"/>
              </w:rPr>
              <w:t xml:space="preserve">PhDr. Tomáš </w:t>
            </w:r>
            <w:proofErr w:type="spellStart"/>
            <w:r>
              <w:rPr>
                <w:i/>
                <w:lang w:val="cs-CZ"/>
              </w:rPr>
              <w:t>Nigrin</w:t>
            </w:r>
            <w:proofErr w:type="spellEnd"/>
            <w:r>
              <w:rPr>
                <w:i/>
                <w:lang w:val="cs-CZ"/>
              </w:rPr>
              <w:t>, Ph.D.</w:t>
            </w:r>
          </w:p>
          <w:p w:rsidR="00905A98" w:rsidRDefault="00835C90">
            <w:pPr>
              <w:spacing w:line="276" w:lineRule="auto"/>
              <w:jc w:val="center"/>
              <w:rPr>
                <w:rFonts w:ascii="Times New Roman" w:hAnsi="Times New Roman" w:cs="Times New Roman"/>
                <w:lang w:eastAsia="cs-CZ"/>
              </w:rPr>
            </w:pPr>
            <w:r>
              <w:rPr>
                <w:rFonts w:ascii="Times New Roman" w:hAnsi="Times New Roman" w:cs="Times New Roman"/>
                <w:lang w:val="cs-CZ" w:eastAsia="cs-CZ"/>
              </w:rPr>
              <w:t>předseda akademického senátu univerzity</w:t>
            </w:r>
          </w:p>
        </w:tc>
      </w:tr>
    </w:tbl>
    <w:p w:rsidR="00905A98" w:rsidRDefault="00905A98">
      <w:pPr>
        <w:rPr>
          <w:rFonts w:hint="eastAsia"/>
          <w:lang w:val="cs-CZ"/>
        </w:rPr>
      </w:pPr>
    </w:p>
    <w:sectPr w:rsidR="00905A98">
      <w:footerReference w:type="default" r:id="rId8"/>
      <w:pgSz w:w="11906" w:h="16838"/>
      <w:pgMar w:top="1134" w:right="1134" w:bottom="1700" w:left="1134" w:header="0" w:footer="1134" w:gutter="0"/>
      <w:cols w:space="708"/>
      <w:formProt w:val="0"/>
      <w:docGrid w:linePitch="312"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68F7" w:rsidRDefault="002668F7">
      <w:pPr>
        <w:rPr>
          <w:rFonts w:hint="eastAsia"/>
        </w:rPr>
      </w:pPr>
      <w:r>
        <w:separator/>
      </w:r>
    </w:p>
  </w:endnote>
  <w:endnote w:type="continuationSeparator" w:id="0">
    <w:p w:rsidR="002668F7" w:rsidRDefault="002668F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EE"/>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ambria Math"/>
    <w:panose1 w:val="02040503050203030202"/>
    <w:charset w:val="01"/>
    <w:family w:val="roman"/>
    <w:notTrueType/>
    <w:pitch w:val="variable"/>
    <w:sig w:usb0="00002000" w:usb1="00000000" w:usb2="00000000" w:usb3="00000000" w:csb0="00000000" w:csb1="00000000"/>
  </w:font>
  <w:font w:name="Liberation Mono">
    <w:altName w:val="Courier New"/>
    <w:charset w:val="EE"/>
    <w:family w:val="roman"/>
    <w:pitch w:val="variable"/>
  </w:font>
  <w:font w:name="NSimSun">
    <w:panose1 w:val="02010609030101010101"/>
    <w:charset w:val="86"/>
    <w:family w:val="modern"/>
    <w:pitch w:val="fixed"/>
    <w:sig w:usb0="00000003" w:usb1="288F0000" w:usb2="00000016" w:usb3="00000000" w:csb0="00040001" w:csb1="00000000"/>
  </w:font>
  <w:font w:name="OpenSymbol">
    <w:altName w:val="Arial Unicode MS"/>
    <w:charset w:val="EE"/>
    <w:family w:val="roman"/>
    <w:pitch w:val="variable"/>
  </w:font>
  <w:font w:name="Liberation Sans">
    <w:altName w:val="Arial"/>
    <w:charset w:val="EE"/>
    <w:family w:val="roman"/>
    <w:pitch w:val="variable"/>
  </w:font>
  <w:font w:name="Microsoft YaHei">
    <w:panose1 w:val="020B0503020204020204"/>
    <w:charset w:val="86"/>
    <w:family w:val="swiss"/>
    <w:pitch w:val="variable"/>
    <w:sig w:usb0="80000287" w:usb1="28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A98" w:rsidRDefault="00835C90">
    <w:pPr>
      <w:pStyle w:val="Zpat"/>
      <w:jc w:val="center"/>
      <w:rPr>
        <w:rFonts w:hint="eastAsia"/>
      </w:rPr>
    </w:pPr>
    <w:r>
      <w:fldChar w:fldCharType="begin"/>
    </w:r>
    <w:r>
      <w:instrText>PAGE</w:instrText>
    </w:r>
    <w:r>
      <w:fldChar w:fldCharType="separate"/>
    </w:r>
    <w:r w:rsidR="00767BB1">
      <w:rPr>
        <w:rFonts w:hint="eastAsia"/>
        <w:noProof/>
      </w:rPr>
      <w:t>12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68F7" w:rsidRDefault="002668F7">
      <w:pPr>
        <w:rPr>
          <w:rFonts w:hint="eastAsia"/>
        </w:rPr>
      </w:pPr>
      <w:r>
        <w:separator/>
      </w:r>
    </w:p>
  </w:footnote>
  <w:footnote w:type="continuationSeparator" w:id="0">
    <w:p w:rsidR="002668F7" w:rsidRDefault="002668F7">
      <w:pPr>
        <w:rPr>
          <w:rFonts w:hint="eastAsia"/>
        </w:rPr>
      </w:pPr>
      <w:r>
        <w:continuationSeparator/>
      </w:r>
    </w:p>
  </w:footnote>
  <w:footnote w:id="1">
    <w:p w:rsidR="00905A98" w:rsidRDefault="00835C90">
      <w:pPr>
        <w:pStyle w:val="Textpoznpodarou"/>
        <w:rPr>
          <w:rFonts w:hint="eastAsia"/>
        </w:rPr>
      </w:pPr>
      <w:r>
        <w:rPr>
          <w:lang w:val="cs-CZ"/>
        </w:rPr>
        <w:footnoteRef/>
      </w:r>
      <w:bookmarkStart w:id="0" w:name="_GoBack"/>
      <w:bookmarkEnd w:id="0"/>
      <w:r>
        <w:rPr>
          <w:lang w:val="cs-CZ"/>
        </w:rPr>
        <w:t>) § 9 odst. 1 písm. b) bod 2. zákona o vysokých školách. Tento předpis byl schválen Akademickým senátem Univerzity Karlovy dne 23. června 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4744"/>
    <w:multiLevelType w:val="multilevel"/>
    <w:tmpl w:val="5B34523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nsid w:val="116C09AE"/>
    <w:multiLevelType w:val="multilevel"/>
    <w:tmpl w:val="2A5A2E5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nsid w:val="18F643F9"/>
    <w:multiLevelType w:val="multilevel"/>
    <w:tmpl w:val="F5A8CD5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nsid w:val="20E1004A"/>
    <w:multiLevelType w:val="multilevel"/>
    <w:tmpl w:val="7354E80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nsid w:val="27053666"/>
    <w:multiLevelType w:val="multilevel"/>
    <w:tmpl w:val="58C635B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nsid w:val="30F72962"/>
    <w:multiLevelType w:val="multilevel"/>
    <w:tmpl w:val="944EDBB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6">
    <w:nsid w:val="31262FC7"/>
    <w:multiLevelType w:val="multilevel"/>
    <w:tmpl w:val="3CE6C44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nsid w:val="3151285C"/>
    <w:multiLevelType w:val="multilevel"/>
    <w:tmpl w:val="FEA8096C"/>
    <w:lvl w:ilvl="0">
      <w:start w:val="1"/>
      <w:numFmt w:val="decimal"/>
      <w:lvlText w:val=" %1."/>
      <w:lvlJc w:val="left"/>
      <w:pPr>
        <w:tabs>
          <w:tab w:val="num" w:pos="720"/>
        </w:tabs>
        <w:ind w:left="720" w:hanging="550"/>
      </w:pPr>
      <w:rPr>
        <w:rFonts w:ascii="Times New Roman" w:hAnsi="Times New Roman"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nsid w:val="31F83CCB"/>
    <w:multiLevelType w:val="multilevel"/>
    <w:tmpl w:val="0364932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nsid w:val="40912D5C"/>
    <w:multiLevelType w:val="multilevel"/>
    <w:tmpl w:val="C502945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nsid w:val="4A060273"/>
    <w:multiLevelType w:val="multilevel"/>
    <w:tmpl w:val="30AA75D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1">
    <w:nsid w:val="4F5838D1"/>
    <w:multiLevelType w:val="multilevel"/>
    <w:tmpl w:val="BF0487E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2">
    <w:nsid w:val="57A35ADC"/>
    <w:multiLevelType w:val="multilevel"/>
    <w:tmpl w:val="ED3A7DE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3">
    <w:nsid w:val="59DB6FAF"/>
    <w:multiLevelType w:val="multilevel"/>
    <w:tmpl w:val="9C6A2F0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nsid w:val="5B09267E"/>
    <w:multiLevelType w:val="multilevel"/>
    <w:tmpl w:val="D7F468B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5">
    <w:nsid w:val="5C8B1A6A"/>
    <w:multiLevelType w:val="multilevel"/>
    <w:tmpl w:val="20BAD00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6">
    <w:nsid w:val="60057C56"/>
    <w:multiLevelType w:val="multilevel"/>
    <w:tmpl w:val="A042803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7">
    <w:nsid w:val="6B450F37"/>
    <w:multiLevelType w:val="multilevel"/>
    <w:tmpl w:val="C12C3AE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8">
    <w:nsid w:val="6E8528E3"/>
    <w:multiLevelType w:val="multilevel"/>
    <w:tmpl w:val="9F40F65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9">
    <w:nsid w:val="75355258"/>
    <w:multiLevelType w:val="multilevel"/>
    <w:tmpl w:val="5CEC4AC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0">
    <w:nsid w:val="7FC87D51"/>
    <w:multiLevelType w:val="multilevel"/>
    <w:tmpl w:val="CD7C9E5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6"/>
  </w:num>
  <w:num w:numId="2">
    <w:abstractNumId w:val="20"/>
  </w:num>
  <w:num w:numId="3">
    <w:abstractNumId w:val="0"/>
  </w:num>
  <w:num w:numId="4">
    <w:abstractNumId w:val="13"/>
  </w:num>
  <w:num w:numId="5">
    <w:abstractNumId w:val="10"/>
  </w:num>
  <w:num w:numId="6">
    <w:abstractNumId w:val="12"/>
  </w:num>
  <w:num w:numId="7">
    <w:abstractNumId w:val="18"/>
  </w:num>
  <w:num w:numId="8">
    <w:abstractNumId w:val="4"/>
  </w:num>
  <w:num w:numId="9">
    <w:abstractNumId w:val="19"/>
  </w:num>
  <w:num w:numId="10">
    <w:abstractNumId w:val="2"/>
  </w:num>
  <w:num w:numId="11">
    <w:abstractNumId w:val="16"/>
  </w:num>
  <w:num w:numId="12">
    <w:abstractNumId w:val="7"/>
  </w:num>
  <w:num w:numId="13">
    <w:abstractNumId w:val="15"/>
  </w:num>
  <w:num w:numId="14">
    <w:abstractNumId w:val="3"/>
  </w:num>
  <w:num w:numId="15">
    <w:abstractNumId w:val="5"/>
  </w:num>
  <w:num w:numId="16">
    <w:abstractNumId w:val="14"/>
  </w:num>
  <w:num w:numId="17">
    <w:abstractNumId w:val="11"/>
  </w:num>
  <w:num w:numId="18">
    <w:abstractNumId w:val="8"/>
  </w:num>
  <w:num w:numId="19">
    <w:abstractNumId w:val="9"/>
  </w:num>
  <w:num w:numId="20">
    <w:abstractNumId w:val="17"/>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05A98"/>
    <w:rsid w:val="002668F7"/>
    <w:rsid w:val="00767BB1"/>
    <w:rsid w:val="00835C90"/>
    <w:rsid w:val="00905A98"/>
    <w:rsid w:val="00E05369"/>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Mangal"/>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107778"/>
    <w:rPr>
      <w:color w:val="00000A"/>
      <w:sz w:val="24"/>
      <w:szCs w:val="24"/>
      <w:lang w:val="sk-SK"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ymbolyproslovn">
    <w:name w:val="Symboly pro číslování"/>
    <w:uiPriority w:val="99"/>
    <w:qFormat/>
    <w:rsid w:val="00107778"/>
  </w:style>
  <w:style w:type="character" w:customStyle="1" w:styleId="Zdrojovtext">
    <w:name w:val="Zdrojový text"/>
    <w:uiPriority w:val="99"/>
    <w:qFormat/>
    <w:rsid w:val="00107778"/>
    <w:rPr>
      <w:rFonts w:ascii="Liberation Mono" w:eastAsia="NSimSun" w:hAnsi="Liberation Mono"/>
    </w:rPr>
  </w:style>
  <w:style w:type="character" w:customStyle="1" w:styleId="WW8Num13z0">
    <w:name w:val="WW8Num13z0"/>
    <w:uiPriority w:val="99"/>
    <w:qFormat/>
    <w:rsid w:val="00107778"/>
    <w:rPr>
      <w:rFonts w:ascii="Times New Roman" w:hAnsi="Times New Roman"/>
      <w:sz w:val="24"/>
    </w:rPr>
  </w:style>
  <w:style w:type="character" w:customStyle="1" w:styleId="FootnoteAnchor">
    <w:name w:val="Footnote Anchor"/>
    <w:uiPriority w:val="99"/>
    <w:rsid w:val="00107778"/>
    <w:rPr>
      <w:vertAlign w:val="superscript"/>
    </w:rPr>
  </w:style>
  <w:style w:type="character" w:customStyle="1" w:styleId="FootnoteCharacters">
    <w:name w:val="Footnote Characters"/>
    <w:uiPriority w:val="99"/>
    <w:qFormat/>
    <w:rsid w:val="00107778"/>
  </w:style>
  <w:style w:type="character" w:customStyle="1" w:styleId="EndnoteAnchor">
    <w:name w:val="Endnote Anchor"/>
    <w:uiPriority w:val="99"/>
    <w:rsid w:val="00107778"/>
    <w:rPr>
      <w:vertAlign w:val="superscript"/>
    </w:rPr>
  </w:style>
  <w:style w:type="character" w:customStyle="1" w:styleId="EndnoteCharacters">
    <w:name w:val="Endnote Characters"/>
    <w:uiPriority w:val="99"/>
    <w:qFormat/>
    <w:rsid w:val="00107778"/>
  </w:style>
  <w:style w:type="character" w:customStyle="1" w:styleId="Bullets">
    <w:name w:val="Bullets"/>
    <w:uiPriority w:val="99"/>
    <w:qFormat/>
    <w:rsid w:val="00107778"/>
    <w:rPr>
      <w:rFonts w:ascii="OpenSymbol" w:hAnsi="OpenSymbol"/>
    </w:rPr>
  </w:style>
  <w:style w:type="character" w:customStyle="1" w:styleId="ListLabel1">
    <w:name w:val="ListLabel 1"/>
    <w:uiPriority w:val="99"/>
    <w:qFormat/>
    <w:rsid w:val="00107778"/>
  </w:style>
  <w:style w:type="character" w:customStyle="1" w:styleId="ListLabel2">
    <w:name w:val="ListLabel 2"/>
    <w:uiPriority w:val="99"/>
    <w:qFormat/>
    <w:rsid w:val="00107778"/>
  </w:style>
  <w:style w:type="character" w:customStyle="1" w:styleId="ListLabel3">
    <w:name w:val="ListLabel 3"/>
    <w:uiPriority w:val="99"/>
    <w:qFormat/>
    <w:rsid w:val="00107778"/>
  </w:style>
  <w:style w:type="character" w:customStyle="1" w:styleId="ListLabel4">
    <w:name w:val="ListLabel 4"/>
    <w:uiPriority w:val="99"/>
    <w:qFormat/>
    <w:rsid w:val="00107778"/>
  </w:style>
  <w:style w:type="character" w:customStyle="1" w:styleId="ListLabel5">
    <w:name w:val="ListLabel 5"/>
    <w:uiPriority w:val="99"/>
    <w:qFormat/>
    <w:rsid w:val="00107778"/>
  </w:style>
  <w:style w:type="character" w:customStyle="1" w:styleId="ListLabel6">
    <w:name w:val="ListLabel 6"/>
    <w:uiPriority w:val="99"/>
    <w:qFormat/>
    <w:rsid w:val="00107778"/>
  </w:style>
  <w:style w:type="character" w:customStyle="1" w:styleId="ListLabel7">
    <w:name w:val="ListLabel 7"/>
    <w:uiPriority w:val="99"/>
    <w:qFormat/>
    <w:rsid w:val="00107778"/>
    <w:rPr>
      <w:sz w:val="24"/>
    </w:rPr>
  </w:style>
  <w:style w:type="character" w:customStyle="1" w:styleId="ListLabel8">
    <w:name w:val="ListLabel 8"/>
    <w:uiPriority w:val="99"/>
    <w:qFormat/>
    <w:rsid w:val="00107778"/>
  </w:style>
  <w:style w:type="character" w:customStyle="1" w:styleId="ListLabel9">
    <w:name w:val="ListLabel 9"/>
    <w:uiPriority w:val="99"/>
    <w:qFormat/>
    <w:rsid w:val="00107778"/>
  </w:style>
  <w:style w:type="character" w:customStyle="1" w:styleId="ListLabel10">
    <w:name w:val="ListLabel 10"/>
    <w:uiPriority w:val="99"/>
    <w:qFormat/>
    <w:rsid w:val="00107778"/>
  </w:style>
  <w:style w:type="character" w:customStyle="1" w:styleId="ListLabel11">
    <w:name w:val="ListLabel 11"/>
    <w:uiPriority w:val="99"/>
    <w:qFormat/>
    <w:rsid w:val="00107778"/>
  </w:style>
  <w:style w:type="character" w:customStyle="1" w:styleId="ListLabel12">
    <w:name w:val="ListLabel 12"/>
    <w:uiPriority w:val="99"/>
    <w:qFormat/>
    <w:rsid w:val="00107778"/>
  </w:style>
  <w:style w:type="character" w:customStyle="1" w:styleId="ListLabel13">
    <w:name w:val="ListLabel 13"/>
    <w:uiPriority w:val="99"/>
    <w:qFormat/>
    <w:rsid w:val="00107778"/>
  </w:style>
  <w:style w:type="character" w:customStyle="1" w:styleId="ListLabel14">
    <w:name w:val="ListLabel 14"/>
    <w:uiPriority w:val="99"/>
    <w:qFormat/>
    <w:rsid w:val="00107778"/>
  </w:style>
  <w:style w:type="character" w:customStyle="1" w:styleId="ListLabel15">
    <w:name w:val="ListLabel 15"/>
    <w:uiPriority w:val="99"/>
    <w:qFormat/>
    <w:rsid w:val="00107778"/>
  </w:style>
  <w:style w:type="character" w:customStyle="1" w:styleId="ListLabel16">
    <w:name w:val="ListLabel 16"/>
    <w:uiPriority w:val="99"/>
    <w:qFormat/>
    <w:rsid w:val="00107778"/>
  </w:style>
  <w:style w:type="character" w:customStyle="1" w:styleId="ListLabel17">
    <w:name w:val="ListLabel 17"/>
    <w:uiPriority w:val="99"/>
    <w:qFormat/>
    <w:rsid w:val="00107778"/>
  </w:style>
  <w:style w:type="character" w:customStyle="1" w:styleId="ListLabel18">
    <w:name w:val="ListLabel 18"/>
    <w:uiPriority w:val="99"/>
    <w:qFormat/>
    <w:rsid w:val="00107778"/>
  </w:style>
  <w:style w:type="character" w:customStyle="1" w:styleId="ListLabel19">
    <w:name w:val="ListLabel 19"/>
    <w:uiPriority w:val="99"/>
    <w:qFormat/>
    <w:rsid w:val="00107778"/>
  </w:style>
  <w:style w:type="character" w:customStyle="1" w:styleId="ListLabel20">
    <w:name w:val="ListLabel 20"/>
    <w:uiPriority w:val="99"/>
    <w:qFormat/>
    <w:rsid w:val="00107778"/>
  </w:style>
  <w:style w:type="character" w:customStyle="1" w:styleId="ListLabel21">
    <w:name w:val="ListLabel 21"/>
    <w:uiPriority w:val="99"/>
    <w:qFormat/>
    <w:rsid w:val="00107778"/>
  </w:style>
  <w:style w:type="character" w:customStyle="1" w:styleId="ListLabel22">
    <w:name w:val="ListLabel 22"/>
    <w:uiPriority w:val="99"/>
    <w:qFormat/>
    <w:rsid w:val="00107778"/>
  </w:style>
  <w:style w:type="character" w:customStyle="1" w:styleId="ListLabel23">
    <w:name w:val="ListLabel 23"/>
    <w:uiPriority w:val="99"/>
    <w:qFormat/>
    <w:rsid w:val="00107778"/>
  </w:style>
  <w:style w:type="character" w:customStyle="1" w:styleId="ListLabel24">
    <w:name w:val="ListLabel 24"/>
    <w:uiPriority w:val="99"/>
    <w:qFormat/>
    <w:rsid w:val="00107778"/>
  </w:style>
  <w:style w:type="character" w:customStyle="1" w:styleId="ListLabel25">
    <w:name w:val="ListLabel 25"/>
    <w:uiPriority w:val="99"/>
    <w:qFormat/>
    <w:rsid w:val="00107778"/>
  </w:style>
  <w:style w:type="character" w:customStyle="1" w:styleId="ListLabel26">
    <w:name w:val="ListLabel 26"/>
    <w:uiPriority w:val="99"/>
    <w:qFormat/>
    <w:rsid w:val="00107778"/>
  </w:style>
  <w:style w:type="character" w:customStyle="1" w:styleId="ListLabel27">
    <w:name w:val="ListLabel 27"/>
    <w:uiPriority w:val="99"/>
    <w:qFormat/>
    <w:rsid w:val="00107778"/>
  </w:style>
  <w:style w:type="character" w:customStyle="1" w:styleId="ListLabel28">
    <w:name w:val="ListLabel 28"/>
    <w:uiPriority w:val="99"/>
    <w:qFormat/>
    <w:rsid w:val="00107778"/>
  </w:style>
  <w:style w:type="character" w:customStyle="1" w:styleId="ListLabel29">
    <w:name w:val="ListLabel 29"/>
    <w:uiPriority w:val="99"/>
    <w:qFormat/>
    <w:rsid w:val="00107778"/>
  </w:style>
  <w:style w:type="character" w:customStyle="1" w:styleId="ListLabel30">
    <w:name w:val="ListLabel 30"/>
    <w:uiPriority w:val="99"/>
    <w:qFormat/>
    <w:rsid w:val="00107778"/>
  </w:style>
  <w:style w:type="character" w:customStyle="1" w:styleId="ListLabel31">
    <w:name w:val="ListLabel 31"/>
    <w:uiPriority w:val="99"/>
    <w:qFormat/>
    <w:rsid w:val="00107778"/>
  </w:style>
  <w:style w:type="character" w:customStyle="1" w:styleId="ListLabel32">
    <w:name w:val="ListLabel 32"/>
    <w:uiPriority w:val="99"/>
    <w:qFormat/>
    <w:rsid w:val="00107778"/>
  </w:style>
  <w:style w:type="character" w:customStyle="1" w:styleId="ListLabel33">
    <w:name w:val="ListLabel 33"/>
    <w:uiPriority w:val="99"/>
    <w:qFormat/>
    <w:rsid w:val="00107778"/>
  </w:style>
  <w:style w:type="character" w:customStyle="1" w:styleId="ListLabel34">
    <w:name w:val="ListLabel 34"/>
    <w:uiPriority w:val="99"/>
    <w:qFormat/>
    <w:rsid w:val="00107778"/>
  </w:style>
  <w:style w:type="character" w:customStyle="1" w:styleId="ListLabel35">
    <w:name w:val="ListLabel 35"/>
    <w:uiPriority w:val="99"/>
    <w:qFormat/>
    <w:rsid w:val="00107778"/>
  </w:style>
  <w:style w:type="character" w:customStyle="1" w:styleId="ListLabel36">
    <w:name w:val="ListLabel 36"/>
    <w:uiPriority w:val="99"/>
    <w:qFormat/>
    <w:rsid w:val="00107778"/>
  </w:style>
  <w:style w:type="character" w:customStyle="1" w:styleId="ListLabel37">
    <w:name w:val="ListLabel 37"/>
    <w:uiPriority w:val="99"/>
    <w:qFormat/>
    <w:rsid w:val="00107778"/>
  </w:style>
  <w:style w:type="character" w:customStyle="1" w:styleId="ListLabel38">
    <w:name w:val="ListLabel 38"/>
    <w:uiPriority w:val="99"/>
    <w:qFormat/>
    <w:rsid w:val="00107778"/>
  </w:style>
  <w:style w:type="character" w:customStyle="1" w:styleId="ListLabel39">
    <w:name w:val="ListLabel 39"/>
    <w:uiPriority w:val="99"/>
    <w:qFormat/>
    <w:rsid w:val="00107778"/>
  </w:style>
  <w:style w:type="character" w:customStyle="1" w:styleId="ListLabel40">
    <w:name w:val="ListLabel 40"/>
    <w:uiPriority w:val="99"/>
    <w:qFormat/>
    <w:rsid w:val="00107778"/>
  </w:style>
  <w:style w:type="character" w:customStyle="1" w:styleId="ListLabel41">
    <w:name w:val="ListLabel 41"/>
    <w:uiPriority w:val="99"/>
    <w:qFormat/>
    <w:rsid w:val="00107778"/>
  </w:style>
  <w:style w:type="character" w:customStyle="1" w:styleId="ListLabel42">
    <w:name w:val="ListLabel 42"/>
    <w:uiPriority w:val="99"/>
    <w:qFormat/>
    <w:rsid w:val="00107778"/>
  </w:style>
  <w:style w:type="character" w:customStyle="1" w:styleId="ListLabel43">
    <w:name w:val="ListLabel 43"/>
    <w:uiPriority w:val="99"/>
    <w:qFormat/>
    <w:rsid w:val="00107778"/>
  </w:style>
  <w:style w:type="character" w:customStyle="1" w:styleId="ListLabel44">
    <w:name w:val="ListLabel 44"/>
    <w:uiPriority w:val="99"/>
    <w:qFormat/>
    <w:rsid w:val="00107778"/>
  </w:style>
  <w:style w:type="character" w:customStyle="1" w:styleId="ListLabel45">
    <w:name w:val="ListLabel 45"/>
    <w:uiPriority w:val="99"/>
    <w:qFormat/>
    <w:rsid w:val="00107778"/>
  </w:style>
  <w:style w:type="character" w:customStyle="1" w:styleId="ListLabel46">
    <w:name w:val="ListLabel 46"/>
    <w:uiPriority w:val="99"/>
    <w:qFormat/>
    <w:rsid w:val="00107778"/>
  </w:style>
  <w:style w:type="character" w:customStyle="1" w:styleId="ListLabel47">
    <w:name w:val="ListLabel 47"/>
    <w:uiPriority w:val="99"/>
    <w:qFormat/>
    <w:rsid w:val="00107778"/>
  </w:style>
  <w:style w:type="character" w:customStyle="1" w:styleId="ListLabel48">
    <w:name w:val="ListLabel 48"/>
    <w:uiPriority w:val="99"/>
    <w:qFormat/>
    <w:rsid w:val="00107778"/>
  </w:style>
  <w:style w:type="character" w:customStyle="1" w:styleId="ListLabel49">
    <w:name w:val="ListLabel 49"/>
    <w:uiPriority w:val="99"/>
    <w:qFormat/>
    <w:rsid w:val="00107778"/>
  </w:style>
  <w:style w:type="character" w:customStyle="1" w:styleId="ListLabel50">
    <w:name w:val="ListLabel 50"/>
    <w:uiPriority w:val="99"/>
    <w:qFormat/>
    <w:rsid w:val="00107778"/>
  </w:style>
  <w:style w:type="character" w:customStyle="1" w:styleId="ListLabel51">
    <w:name w:val="ListLabel 51"/>
    <w:uiPriority w:val="99"/>
    <w:qFormat/>
    <w:rsid w:val="00107778"/>
  </w:style>
  <w:style w:type="character" w:customStyle="1" w:styleId="ListLabel52">
    <w:name w:val="ListLabel 52"/>
    <w:uiPriority w:val="99"/>
    <w:qFormat/>
    <w:rsid w:val="00107778"/>
  </w:style>
  <w:style w:type="character" w:customStyle="1" w:styleId="ListLabel53">
    <w:name w:val="ListLabel 53"/>
    <w:uiPriority w:val="99"/>
    <w:qFormat/>
    <w:rsid w:val="00107778"/>
  </w:style>
  <w:style w:type="character" w:customStyle="1" w:styleId="ListLabel54">
    <w:name w:val="ListLabel 54"/>
    <w:uiPriority w:val="99"/>
    <w:qFormat/>
    <w:rsid w:val="00107778"/>
  </w:style>
  <w:style w:type="character" w:customStyle="1" w:styleId="ListLabel55">
    <w:name w:val="ListLabel 55"/>
    <w:uiPriority w:val="99"/>
    <w:qFormat/>
    <w:rsid w:val="00107778"/>
  </w:style>
  <w:style w:type="character" w:customStyle="1" w:styleId="ListLabel56">
    <w:name w:val="ListLabel 56"/>
    <w:uiPriority w:val="99"/>
    <w:qFormat/>
    <w:rsid w:val="00107778"/>
  </w:style>
  <w:style w:type="character" w:customStyle="1" w:styleId="ListLabel57">
    <w:name w:val="ListLabel 57"/>
    <w:uiPriority w:val="99"/>
    <w:qFormat/>
    <w:rsid w:val="00107778"/>
  </w:style>
  <w:style w:type="character" w:customStyle="1" w:styleId="ListLabel58">
    <w:name w:val="ListLabel 58"/>
    <w:uiPriority w:val="99"/>
    <w:qFormat/>
    <w:rsid w:val="00107778"/>
  </w:style>
  <w:style w:type="character" w:customStyle="1" w:styleId="ListLabel59">
    <w:name w:val="ListLabel 59"/>
    <w:uiPriority w:val="99"/>
    <w:qFormat/>
    <w:rsid w:val="00107778"/>
  </w:style>
  <w:style w:type="character" w:customStyle="1" w:styleId="ListLabel60">
    <w:name w:val="ListLabel 60"/>
    <w:uiPriority w:val="99"/>
    <w:qFormat/>
    <w:rsid w:val="00107778"/>
  </w:style>
  <w:style w:type="character" w:customStyle="1" w:styleId="ListLabel61">
    <w:name w:val="ListLabel 61"/>
    <w:uiPriority w:val="99"/>
    <w:qFormat/>
    <w:rsid w:val="00107778"/>
  </w:style>
  <w:style w:type="character" w:customStyle="1" w:styleId="ListLabel62">
    <w:name w:val="ListLabel 62"/>
    <w:uiPriority w:val="99"/>
    <w:qFormat/>
    <w:rsid w:val="00107778"/>
  </w:style>
  <w:style w:type="character" w:customStyle="1" w:styleId="ListLabel63">
    <w:name w:val="ListLabel 63"/>
    <w:uiPriority w:val="99"/>
    <w:qFormat/>
    <w:rsid w:val="00107778"/>
  </w:style>
  <w:style w:type="character" w:customStyle="1" w:styleId="ListLabel64">
    <w:name w:val="ListLabel 64"/>
    <w:uiPriority w:val="99"/>
    <w:qFormat/>
    <w:rsid w:val="00107778"/>
  </w:style>
  <w:style w:type="character" w:customStyle="1" w:styleId="ListLabel65">
    <w:name w:val="ListLabel 65"/>
    <w:uiPriority w:val="99"/>
    <w:qFormat/>
    <w:rsid w:val="00107778"/>
  </w:style>
  <w:style w:type="character" w:customStyle="1" w:styleId="ListLabel66">
    <w:name w:val="ListLabel 66"/>
    <w:uiPriority w:val="99"/>
    <w:qFormat/>
    <w:rsid w:val="00107778"/>
  </w:style>
  <w:style w:type="character" w:customStyle="1" w:styleId="ListLabel67">
    <w:name w:val="ListLabel 67"/>
    <w:uiPriority w:val="99"/>
    <w:qFormat/>
    <w:rsid w:val="00107778"/>
  </w:style>
  <w:style w:type="character" w:customStyle="1" w:styleId="ListLabel68">
    <w:name w:val="ListLabel 68"/>
    <w:uiPriority w:val="99"/>
    <w:qFormat/>
    <w:rsid w:val="00107778"/>
  </w:style>
  <w:style w:type="character" w:customStyle="1" w:styleId="ListLabel69">
    <w:name w:val="ListLabel 69"/>
    <w:uiPriority w:val="99"/>
    <w:qFormat/>
    <w:rsid w:val="00107778"/>
  </w:style>
  <w:style w:type="character" w:customStyle="1" w:styleId="ListLabel70">
    <w:name w:val="ListLabel 70"/>
    <w:uiPriority w:val="99"/>
    <w:qFormat/>
    <w:rsid w:val="00107778"/>
  </w:style>
  <w:style w:type="character" w:customStyle="1" w:styleId="ListLabel71">
    <w:name w:val="ListLabel 71"/>
    <w:uiPriority w:val="99"/>
    <w:qFormat/>
    <w:rsid w:val="00107778"/>
  </w:style>
  <w:style w:type="character" w:customStyle="1" w:styleId="ListLabel72">
    <w:name w:val="ListLabel 72"/>
    <w:uiPriority w:val="99"/>
    <w:qFormat/>
    <w:rsid w:val="00107778"/>
  </w:style>
  <w:style w:type="character" w:customStyle="1" w:styleId="ListLabel73">
    <w:name w:val="ListLabel 73"/>
    <w:uiPriority w:val="99"/>
    <w:qFormat/>
    <w:rsid w:val="00107778"/>
  </w:style>
  <w:style w:type="character" w:customStyle="1" w:styleId="ListLabel74">
    <w:name w:val="ListLabel 74"/>
    <w:uiPriority w:val="99"/>
    <w:qFormat/>
    <w:rsid w:val="00107778"/>
  </w:style>
  <w:style w:type="character" w:customStyle="1" w:styleId="ListLabel75">
    <w:name w:val="ListLabel 75"/>
    <w:uiPriority w:val="99"/>
    <w:qFormat/>
    <w:rsid w:val="00107778"/>
  </w:style>
  <w:style w:type="character" w:customStyle="1" w:styleId="ListLabel76">
    <w:name w:val="ListLabel 76"/>
    <w:uiPriority w:val="99"/>
    <w:qFormat/>
    <w:rsid w:val="00107778"/>
  </w:style>
  <w:style w:type="character" w:customStyle="1" w:styleId="ListLabel77">
    <w:name w:val="ListLabel 77"/>
    <w:uiPriority w:val="99"/>
    <w:qFormat/>
    <w:rsid w:val="00107778"/>
  </w:style>
  <w:style w:type="character" w:customStyle="1" w:styleId="ListLabel78">
    <w:name w:val="ListLabel 78"/>
    <w:uiPriority w:val="99"/>
    <w:qFormat/>
    <w:rsid w:val="00107778"/>
  </w:style>
  <w:style w:type="character" w:customStyle="1" w:styleId="ListLabel79">
    <w:name w:val="ListLabel 79"/>
    <w:uiPriority w:val="99"/>
    <w:qFormat/>
    <w:rsid w:val="00107778"/>
  </w:style>
  <w:style w:type="character" w:customStyle="1" w:styleId="ListLabel80">
    <w:name w:val="ListLabel 80"/>
    <w:uiPriority w:val="99"/>
    <w:qFormat/>
    <w:rsid w:val="00107778"/>
  </w:style>
  <w:style w:type="character" w:customStyle="1" w:styleId="ListLabel81">
    <w:name w:val="ListLabel 81"/>
    <w:uiPriority w:val="99"/>
    <w:qFormat/>
    <w:rsid w:val="00107778"/>
  </w:style>
  <w:style w:type="character" w:customStyle="1" w:styleId="ListLabel82">
    <w:name w:val="ListLabel 82"/>
    <w:uiPriority w:val="99"/>
    <w:qFormat/>
    <w:rsid w:val="00107778"/>
  </w:style>
  <w:style w:type="character" w:customStyle="1" w:styleId="ListLabel83">
    <w:name w:val="ListLabel 83"/>
    <w:uiPriority w:val="99"/>
    <w:qFormat/>
    <w:rsid w:val="00107778"/>
  </w:style>
  <w:style w:type="character" w:customStyle="1" w:styleId="ListLabel84">
    <w:name w:val="ListLabel 84"/>
    <w:uiPriority w:val="99"/>
    <w:qFormat/>
    <w:rsid w:val="00107778"/>
  </w:style>
  <w:style w:type="character" w:customStyle="1" w:styleId="ListLabel85">
    <w:name w:val="ListLabel 85"/>
    <w:uiPriority w:val="99"/>
    <w:qFormat/>
    <w:rsid w:val="00107778"/>
  </w:style>
  <w:style w:type="character" w:customStyle="1" w:styleId="ListLabel86">
    <w:name w:val="ListLabel 86"/>
    <w:uiPriority w:val="99"/>
    <w:qFormat/>
    <w:rsid w:val="00107778"/>
  </w:style>
  <w:style w:type="character" w:customStyle="1" w:styleId="ListLabel87">
    <w:name w:val="ListLabel 87"/>
    <w:uiPriority w:val="99"/>
    <w:qFormat/>
    <w:rsid w:val="00107778"/>
  </w:style>
  <w:style w:type="character" w:customStyle="1" w:styleId="ListLabel88">
    <w:name w:val="ListLabel 88"/>
    <w:uiPriority w:val="99"/>
    <w:qFormat/>
    <w:rsid w:val="00107778"/>
  </w:style>
  <w:style w:type="character" w:customStyle="1" w:styleId="ListLabel89">
    <w:name w:val="ListLabel 89"/>
    <w:uiPriority w:val="99"/>
    <w:qFormat/>
    <w:rsid w:val="00107778"/>
  </w:style>
  <w:style w:type="character" w:customStyle="1" w:styleId="ListLabel90">
    <w:name w:val="ListLabel 90"/>
    <w:uiPriority w:val="99"/>
    <w:qFormat/>
    <w:rsid w:val="00107778"/>
  </w:style>
  <w:style w:type="character" w:customStyle="1" w:styleId="ListLabel91">
    <w:name w:val="ListLabel 91"/>
    <w:uiPriority w:val="99"/>
    <w:qFormat/>
    <w:rsid w:val="00107778"/>
  </w:style>
  <w:style w:type="character" w:customStyle="1" w:styleId="ListLabel92">
    <w:name w:val="ListLabel 92"/>
    <w:uiPriority w:val="99"/>
    <w:qFormat/>
    <w:rsid w:val="00107778"/>
  </w:style>
  <w:style w:type="character" w:customStyle="1" w:styleId="ListLabel93">
    <w:name w:val="ListLabel 93"/>
    <w:uiPriority w:val="99"/>
    <w:qFormat/>
    <w:rsid w:val="00107778"/>
  </w:style>
  <w:style w:type="character" w:customStyle="1" w:styleId="ListLabel94">
    <w:name w:val="ListLabel 94"/>
    <w:uiPriority w:val="99"/>
    <w:qFormat/>
    <w:rsid w:val="00107778"/>
  </w:style>
  <w:style w:type="character" w:customStyle="1" w:styleId="ListLabel95">
    <w:name w:val="ListLabel 95"/>
    <w:uiPriority w:val="99"/>
    <w:qFormat/>
    <w:rsid w:val="00107778"/>
  </w:style>
  <w:style w:type="character" w:customStyle="1" w:styleId="ListLabel96">
    <w:name w:val="ListLabel 96"/>
    <w:uiPriority w:val="99"/>
    <w:qFormat/>
    <w:rsid w:val="00107778"/>
  </w:style>
  <w:style w:type="character" w:customStyle="1" w:styleId="ListLabel97">
    <w:name w:val="ListLabel 97"/>
    <w:uiPriority w:val="99"/>
    <w:qFormat/>
    <w:rsid w:val="00107778"/>
  </w:style>
  <w:style w:type="character" w:customStyle="1" w:styleId="ListLabel98">
    <w:name w:val="ListLabel 98"/>
    <w:uiPriority w:val="99"/>
    <w:qFormat/>
    <w:rsid w:val="00107778"/>
  </w:style>
  <w:style w:type="character" w:customStyle="1" w:styleId="ListLabel99">
    <w:name w:val="ListLabel 99"/>
    <w:uiPriority w:val="99"/>
    <w:qFormat/>
    <w:rsid w:val="00107778"/>
  </w:style>
  <w:style w:type="character" w:customStyle="1" w:styleId="ListLabel100">
    <w:name w:val="ListLabel 100"/>
    <w:uiPriority w:val="99"/>
    <w:qFormat/>
    <w:rsid w:val="00107778"/>
  </w:style>
  <w:style w:type="character" w:customStyle="1" w:styleId="ListLabel101">
    <w:name w:val="ListLabel 101"/>
    <w:uiPriority w:val="99"/>
    <w:qFormat/>
    <w:rsid w:val="00107778"/>
  </w:style>
  <w:style w:type="character" w:customStyle="1" w:styleId="ListLabel102">
    <w:name w:val="ListLabel 102"/>
    <w:uiPriority w:val="99"/>
    <w:qFormat/>
    <w:rsid w:val="00107778"/>
  </w:style>
  <w:style w:type="character" w:customStyle="1" w:styleId="ListLabel103">
    <w:name w:val="ListLabel 103"/>
    <w:uiPriority w:val="99"/>
    <w:qFormat/>
    <w:rsid w:val="00107778"/>
  </w:style>
  <w:style w:type="character" w:customStyle="1" w:styleId="ListLabel104">
    <w:name w:val="ListLabel 104"/>
    <w:uiPriority w:val="99"/>
    <w:qFormat/>
    <w:rsid w:val="00107778"/>
  </w:style>
  <w:style w:type="character" w:customStyle="1" w:styleId="ListLabel105">
    <w:name w:val="ListLabel 105"/>
    <w:uiPriority w:val="99"/>
    <w:qFormat/>
    <w:rsid w:val="00107778"/>
  </w:style>
  <w:style w:type="character" w:customStyle="1" w:styleId="ListLabel106">
    <w:name w:val="ListLabel 106"/>
    <w:uiPriority w:val="99"/>
    <w:qFormat/>
    <w:rsid w:val="00107778"/>
  </w:style>
  <w:style w:type="character" w:customStyle="1" w:styleId="ListLabel107">
    <w:name w:val="ListLabel 107"/>
    <w:uiPriority w:val="99"/>
    <w:qFormat/>
    <w:rsid w:val="00107778"/>
  </w:style>
  <w:style w:type="character" w:customStyle="1" w:styleId="ListLabel108">
    <w:name w:val="ListLabel 108"/>
    <w:uiPriority w:val="99"/>
    <w:qFormat/>
    <w:rsid w:val="00107778"/>
  </w:style>
  <w:style w:type="character" w:customStyle="1" w:styleId="ListLabel109">
    <w:name w:val="ListLabel 109"/>
    <w:uiPriority w:val="99"/>
    <w:qFormat/>
    <w:rsid w:val="00107778"/>
  </w:style>
  <w:style w:type="character" w:customStyle="1" w:styleId="ListLabel110">
    <w:name w:val="ListLabel 110"/>
    <w:uiPriority w:val="99"/>
    <w:qFormat/>
    <w:rsid w:val="00107778"/>
  </w:style>
  <w:style w:type="character" w:customStyle="1" w:styleId="ListLabel111">
    <w:name w:val="ListLabel 111"/>
    <w:uiPriority w:val="99"/>
    <w:qFormat/>
    <w:rsid w:val="00107778"/>
  </w:style>
  <w:style w:type="character" w:customStyle="1" w:styleId="ListLabel112">
    <w:name w:val="ListLabel 112"/>
    <w:uiPriority w:val="99"/>
    <w:qFormat/>
    <w:rsid w:val="00107778"/>
  </w:style>
  <w:style w:type="character" w:customStyle="1" w:styleId="ListLabel113">
    <w:name w:val="ListLabel 113"/>
    <w:uiPriority w:val="99"/>
    <w:qFormat/>
    <w:rsid w:val="00107778"/>
  </w:style>
  <w:style w:type="character" w:customStyle="1" w:styleId="ListLabel114">
    <w:name w:val="ListLabel 114"/>
    <w:uiPriority w:val="99"/>
    <w:qFormat/>
    <w:rsid w:val="00107778"/>
  </w:style>
  <w:style w:type="character" w:customStyle="1" w:styleId="ListLabel115">
    <w:name w:val="ListLabel 115"/>
    <w:uiPriority w:val="99"/>
    <w:qFormat/>
    <w:rsid w:val="00107778"/>
  </w:style>
  <w:style w:type="character" w:customStyle="1" w:styleId="ListLabel116">
    <w:name w:val="ListLabel 116"/>
    <w:uiPriority w:val="99"/>
    <w:qFormat/>
    <w:rsid w:val="00107778"/>
  </w:style>
  <w:style w:type="character" w:customStyle="1" w:styleId="ListLabel117">
    <w:name w:val="ListLabel 117"/>
    <w:uiPriority w:val="99"/>
    <w:qFormat/>
    <w:rsid w:val="00107778"/>
  </w:style>
  <w:style w:type="character" w:customStyle="1" w:styleId="ListLabel118">
    <w:name w:val="ListLabel 118"/>
    <w:uiPriority w:val="99"/>
    <w:qFormat/>
    <w:rsid w:val="00107778"/>
  </w:style>
  <w:style w:type="character" w:customStyle="1" w:styleId="ListLabel119">
    <w:name w:val="ListLabel 119"/>
    <w:uiPriority w:val="99"/>
    <w:qFormat/>
    <w:rsid w:val="00107778"/>
  </w:style>
  <w:style w:type="character" w:customStyle="1" w:styleId="ListLabel120">
    <w:name w:val="ListLabel 120"/>
    <w:uiPriority w:val="99"/>
    <w:qFormat/>
    <w:rsid w:val="00107778"/>
  </w:style>
  <w:style w:type="character" w:customStyle="1" w:styleId="ListLabel121">
    <w:name w:val="ListLabel 121"/>
    <w:uiPriority w:val="99"/>
    <w:qFormat/>
    <w:rsid w:val="00107778"/>
  </w:style>
  <w:style w:type="character" w:customStyle="1" w:styleId="Ukotvenpoznmkypodarou">
    <w:name w:val="Ukotvení poznámky pod čarou"/>
    <w:uiPriority w:val="99"/>
    <w:qFormat/>
    <w:rsid w:val="00107778"/>
    <w:rPr>
      <w:vertAlign w:val="superscript"/>
    </w:rPr>
  </w:style>
  <w:style w:type="character" w:customStyle="1" w:styleId="Znakypropoznmkupodarou">
    <w:name w:val="Znaky pro poznámku pod čarou"/>
    <w:uiPriority w:val="99"/>
    <w:qFormat/>
    <w:rsid w:val="00107778"/>
  </w:style>
  <w:style w:type="character" w:customStyle="1" w:styleId="Ukotvenvysvtlivky">
    <w:name w:val="Ukotvení vysvětlivky"/>
    <w:uiPriority w:val="99"/>
    <w:qFormat/>
    <w:rsid w:val="00107778"/>
    <w:rPr>
      <w:vertAlign w:val="superscript"/>
    </w:rPr>
  </w:style>
  <w:style w:type="character" w:customStyle="1" w:styleId="Znakyprovysvtlivky">
    <w:name w:val="Znaky pro vysvětlivky"/>
    <w:uiPriority w:val="99"/>
    <w:qFormat/>
    <w:rsid w:val="00107778"/>
  </w:style>
  <w:style w:type="character" w:customStyle="1" w:styleId="ZkladntextChar">
    <w:name w:val="Základní text Char"/>
    <w:basedOn w:val="Standardnpsmoodstavce"/>
    <w:link w:val="Zkladntext"/>
    <w:uiPriority w:val="99"/>
    <w:semiHidden/>
    <w:qFormat/>
    <w:locked/>
    <w:rsid w:val="003365FD"/>
    <w:rPr>
      <w:rFonts w:cs="Times New Roman"/>
      <w:color w:val="00000A"/>
      <w:sz w:val="21"/>
      <w:szCs w:val="21"/>
      <w:lang w:val="sk-SK" w:eastAsia="zh-CN" w:bidi="hi-IN"/>
    </w:rPr>
  </w:style>
  <w:style w:type="character" w:customStyle="1" w:styleId="ZpatChar">
    <w:name w:val="Zápatí Char"/>
    <w:basedOn w:val="Standardnpsmoodstavce"/>
    <w:link w:val="Zpat"/>
    <w:uiPriority w:val="99"/>
    <w:semiHidden/>
    <w:qFormat/>
    <w:locked/>
    <w:rsid w:val="003365FD"/>
    <w:rPr>
      <w:rFonts w:cs="Times New Roman"/>
      <w:color w:val="00000A"/>
      <w:sz w:val="21"/>
      <w:szCs w:val="21"/>
      <w:lang w:val="sk-SK" w:eastAsia="zh-CN" w:bidi="hi-IN"/>
    </w:rPr>
  </w:style>
  <w:style w:type="character" w:customStyle="1" w:styleId="TextpoznpodarouChar">
    <w:name w:val="Text pozn. pod čarou Char"/>
    <w:basedOn w:val="Standardnpsmoodstavce"/>
    <w:link w:val="Textpoznpodarou"/>
    <w:uiPriority w:val="99"/>
    <w:semiHidden/>
    <w:qFormat/>
    <w:locked/>
    <w:rsid w:val="003365FD"/>
    <w:rPr>
      <w:rFonts w:cs="Times New Roman"/>
      <w:color w:val="00000A"/>
      <w:sz w:val="18"/>
      <w:szCs w:val="18"/>
      <w:lang w:val="sk-SK" w:eastAsia="zh-CN" w:bidi="hi-IN"/>
    </w:rPr>
  </w:style>
  <w:style w:type="character" w:customStyle="1" w:styleId="TextkomenteChar">
    <w:name w:val="Text komentáře Char"/>
    <w:basedOn w:val="Standardnpsmoodstavce"/>
    <w:link w:val="Textkomente"/>
    <w:uiPriority w:val="99"/>
    <w:semiHidden/>
    <w:qFormat/>
    <w:locked/>
    <w:rsid w:val="00107778"/>
    <w:rPr>
      <w:rFonts w:cs="Times New Roman"/>
      <w:color w:val="00000A"/>
      <w:sz w:val="18"/>
      <w:szCs w:val="18"/>
    </w:rPr>
  </w:style>
  <w:style w:type="character" w:styleId="Odkaznakoment">
    <w:name w:val="annotation reference"/>
    <w:basedOn w:val="Standardnpsmoodstavce"/>
    <w:uiPriority w:val="99"/>
    <w:semiHidden/>
    <w:qFormat/>
    <w:rsid w:val="00107778"/>
    <w:rPr>
      <w:rFonts w:cs="Times New Roman"/>
      <w:sz w:val="16"/>
      <w:szCs w:val="16"/>
    </w:rPr>
  </w:style>
  <w:style w:type="character" w:customStyle="1" w:styleId="TextbublinyChar">
    <w:name w:val="Text bubliny Char"/>
    <w:basedOn w:val="Standardnpsmoodstavce"/>
    <w:link w:val="Textbubliny"/>
    <w:uiPriority w:val="99"/>
    <w:semiHidden/>
    <w:qFormat/>
    <w:locked/>
    <w:rsid w:val="003365FD"/>
    <w:rPr>
      <w:rFonts w:ascii="Times New Roman" w:hAnsi="Times New Roman" w:cs="Times New Roman"/>
      <w:color w:val="00000A"/>
      <w:sz w:val="2"/>
      <w:lang w:val="sk-SK" w:eastAsia="zh-CN" w:bidi="hi-IN"/>
    </w:rPr>
  </w:style>
  <w:style w:type="character" w:customStyle="1" w:styleId="ListLabel122">
    <w:name w:val="ListLabel 122"/>
    <w:qFormat/>
    <w:rPr>
      <w:rFonts w:cs="Times New Roman"/>
    </w:rPr>
  </w:style>
  <w:style w:type="character" w:customStyle="1" w:styleId="ListLabel123">
    <w:name w:val="ListLabel 123"/>
    <w:qFormat/>
    <w:rPr>
      <w:rFonts w:cs="Times New Roman"/>
    </w:rPr>
  </w:style>
  <w:style w:type="character" w:customStyle="1" w:styleId="ListLabel124">
    <w:name w:val="ListLabel 124"/>
    <w:qFormat/>
    <w:rPr>
      <w:rFonts w:cs="Times New Roman"/>
    </w:rPr>
  </w:style>
  <w:style w:type="character" w:customStyle="1" w:styleId="ListLabel125">
    <w:name w:val="ListLabel 125"/>
    <w:qFormat/>
    <w:rPr>
      <w:rFonts w:cs="Times New Roman"/>
    </w:rPr>
  </w:style>
  <w:style w:type="character" w:customStyle="1" w:styleId="ListLabel126">
    <w:name w:val="ListLabel 126"/>
    <w:qFormat/>
    <w:rPr>
      <w:rFonts w:cs="Times New Roman"/>
    </w:rPr>
  </w:style>
  <w:style w:type="character" w:customStyle="1" w:styleId="ListLabel127">
    <w:name w:val="ListLabel 127"/>
    <w:qFormat/>
    <w:rPr>
      <w:rFonts w:cs="Times New Roman"/>
    </w:rPr>
  </w:style>
  <w:style w:type="character" w:customStyle="1" w:styleId="ListLabel128">
    <w:name w:val="ListLabel 128"/>
    <w:qFormat/>
    <w:rPr>
      <w:rFonts w:cs="Times New Roman"/>
    </w:rPr>
  </w:style>
  <w:style w:type="character" w:customStyle="1" w:styleId="ListLabel129">
    <w:name w:val="ListLabel 129"/>
    <w:qFormat/>
    <w:rPr>
      <w:rFonts w:cs="Times New Roman"/>
    </w:rPr>
  </w:style>
  <w:style w:type="character" w:customStyle="1" w:styleId="ListLabel130">
    <w:name w:val="ListLabel 130"/>
    <w:qFormat/>
    <w:rPr>
      <w:rFonts w:cs="Times New Roman"/>
    </w:rPr>
  </w:style>
  <w:style w:type="character" w:customStyle="1" w:styleId="ListLabel131">
    <w:name w:val="ListLabel 131"/>
    <w:qFormat/>
    <w:rPr>
      <w:rFonts w:cs="Times New Roman"/>
    </w:rPr>
  </w:style>
  <w:style w:type="character" w:customStyle="1" w:styleId="ListLabel132">
    <w:name w:val="ListLabel 132"/>
    <w:qFormat/>
    <w:rPr>
      <w:rFonts w:cs="Times New Roman"/>
    </w:rPr>
  </w:style>
  <w:style w:type="character" w:customStyle="1" w:styleId="ListLabel133">
    <w:name w:val="ListLabel 133"/>
    <w:qFormat/>
    <w:rPr>
      <w:rFonts w:cs="Times New Roman"/>
    </w:rPr>
  </w:style>
  <w:style w:type="character" w:customStyle="1" w:styleId="ListLabel134">
    <w:name w:val="ListLabel 134"/>
    <w:qFormat/>
    <w:rPr>
      <w:rFonts w:cs="Times New Roman"/>
    </w:rPr>
  </w:style>
  <w:style w:type="character" w:customStyle="1" w:styleId="ListLabel135">
    <w:name w:val="ListLabel 135"/>
    <w:qFormat/>
    <w:rPr>
      <w:rFonts w:cs="Times New Roman"/>
    </w:rPr>
  </w:style>
  <w:style w:type="character" w:customStyle="1" w:styleId="ListLabel136">
    <w:name w:val="ListLabel 136"/>
    <w:qFormat/>
    <w:rPr>
      <w:rFonts w:cs="Times New Roman"/>
    </w:rPr>
  </w:style>
  <w:style w:type="character" w:customStyle="1" w:styleId="ListLabel137">
    <w:name w:val="ListLabel 137"/>
    <w:qFormat/>
    <w:rPr>
      <w:rFonts w:cs="Times New Roman"/>
    </w:rPr>
  </w:style>
  <w:style w:type="character" w:customStyle="1" w:styleId="ListLabel138">
    <w:name w:val="ListLabel 138"/>
    <w:qFormat/>
    <w:rPr>
      <w:rFonts w:cs="Times New Roman"/>
    </w:rPr>
  </w:style>
  <w:style w:type="character" w:customStyle="1" w:styleId="ListLabel139">
    <w:name w:val="ListLabel 139"/>
    <w:qFormat/>
    <w:rPr>
      <w:rFonts w:cs="Times New Roman"/>
    </w:rPr>
  </w:style>
  <w:style w:type="character" w:customStyle="1" w:styleId="ListLabel140">
    <w:name w:val="ListLabel 140"/>
    <w:qFormat/>
    <w:rPr>
      <w:rFonts w:cs="Times New Roman"/>
    </w:rPr>
  </w:style>
  <w:style w:type="character" w:customStyle="1" w:styleId="ListLabel141">
    <w:name w:val="ListLabel 141"/>
    <w:qFormat/>
    <w:rPr>
      <w:rFonts w:cs="Times New Roman"/>
    </w:rPr>
  </w:style>
  <w:style w:type="character" w:customStyle="1" w:styleId="ListLabel142">
    <w:name w:val="ListLabel 142"/>
    <w:qFormat/>
    <w:rPr>
      <w:rFonts w:cs="Times New Roman"/>
    </w:rPr>
  </w:style>
  <w:style w:type="character" w:customStyle="1" w:styleId="ListLabel143">
    <w:name w:val="ListLabel 143"/>
    <w:qFormat/>
    <w:rPr>
      <w:rFonts w:cs="Times New Roman"/>
    </w:rPr>
  </w:style>
  <w:style w:type="character" w:customStyle="1" w:styleId="ListLabel144">
    <w:name w:val="ListLabel 144"/>
    <w:qFormat/>
    <w:rPr>
      <w:rFonts w:cs="Times New Roman"/>
    </w:rPr>
  </w:style>
  <w:style w:type="character" w:customStyle="1" w:styleId="ListLabel145">
    <w:name w:val="ListLabel 145"/>
    <w:qFormat/>
    <w:rPr>
      <w:rFonts w:cs="Times New Roman"/>
    </w:rPr>
  </w:style>
  <w:style w:type="character" w:customStyle="1" w:styleId="ListLabel146">
    <w:name w:val="ListLabel 146"/>
    <w:qFormat/>
    <w:rPr>
      <w:rFonts w:cs="Times New Roman"/>
    </w:rPr>
  </w:style>
  <w:style w:type="character" w:customStyle="1" w:styleId="ListLabel147">
    <w:name w:val="ListLabel 147"/>
    <w:qFormat/>
    <w:rPr>
      <w:rFonts w:cs="Times New Roman"/>
    </w:rPr>
  </w:style>
  <w:style w:type="character" w:customStyle="1" w:styleId="ListLabel148">
    <w:name w:val="ListLabel 148"/>
    <w:qFormat/>
    <w:rPr>
      <w:rFonts w:cs="Times New Roman"/>
    </w:rPr>
  </w:style>
  <w:style w:type="character" w:customStyle="1" w:styleId="ListLabel149">
    <w:name w:val="ListLabel 149"/>
    <w:qFormat/>
    <w:rPr>
      <w:rFonts w:cs="Times New Roman"/>
    </w:rPr>
  </w:style>
  <w:style w:type="character" w:customStyle="1" w:styleId="ListLabel150">
    <w:name w:val="ListLabel 150"/>
    <w:qFormat/>
    <w:rPr>
      <w:rFonts w:cs="Times New Roman"/>
    </w:rPr>
  </w:style>
  <w:style w:type="character" w:customStyle="1" w:styleId="ListLabel151">
    <w:name w:val="ListLabel 151"/>
    <w:qFormat/>
    <w:rPr>
      <w:rFonts w:cs="Times New Roman"/>
    </w:rPr>
  </w:style>
  <w:style w:type="character" w:customStyle="1" w:styleId="ListLabel152">
    <w:name w:val="ListLabel 152"/>
    <w:qFormat/>
    <w:rPr>
      <w:rFonts w:cs="Times New Roman"/>
    </w:rPr>
  </w:style>
  <w:style w:type="character" w:customStyle="1" w:styleId="ListLabel153">
    <w:name w:val="ListLabel 153"/>
    <w:qFormat/>
    <w:rPr>
      <w:rFonts w:cs="Times New Roman"/>
    </w:rPr>
  </w:style>
  <w:style w:type="character" w:customStyle="1" w:styleId="ListLabel154">
    <w:name w:val="ListLabel 154"/>
    <w:qFormat/>
    <w:rPr>
      <w:rFonts w:cs="Times New Roman"/>
    </w:rPr>
  </w:style>
  <w:style w:type="character" w:customStyle="1" w:styleId="ListLabel155">
    <w:name w:val="ListLabel 155"/>
    <w:qFormat/>
    <w:rPr>
      <w:rFonts w:ascii="Times New Roman" w:hAnsi="Times New Roman" w:cs="Times New Roman"/>
    </w:rPr>
  </w:style>
  <w:style w:type="character" w:customStyle="1" w:styleId="ListLabel156">
    <w:name w:val="ListLabel 156"/>
    <w:qFormat/>
    <w:rPr>
      <w:rFonts w:cs="Times New Roman"/>
    </w:rPr>
  </w:style>
  <w:style w:type="character" w:customStyle="1" w:styleId="ListLabel157">
    <w:name w:val="ListLabel 157"/>
    <w:qFormat/>
    <w:rPr>
      <w:rFonts w:cs="Times New Roman"/>
    </w:rPr>
  </w:style>
  <w:style w:type="character" w:customStyle="1" w:styleId="ListLabel158">
    <w:name w:val="ListLabel 158"/>
    <w:qFormat/>
    <w:rPr>
      <w:rFonts w:cs="Times New Roman"/>
    </w:rPr>
  </w:style>
  <w:style w:type="character" w:customStyle="1" w:styleId="ListLabel159">
    <w:name w:val="ListLabel 159"/>
    <w:qFormat/>
    <w:rPr>
      <w:rFonts w:cs="Times New Roman"/>
    </w:rPr>
  </w:style>
  <w:style w:type="character" w:customStyle="1" w:styleId="ListLabel160">
    <w:name w:val="ListLabel 160"/>
    <w:qFormat/>
    <w:rPr>
      <w:rFonts w:cs="Times New Roman"/>
    </w:rPr>
  </w:style>
  <w:style w:type="character" w:customStyle="1" w:styleId="ListLabel161">
    <w:name w:val="ListLabel 161"/>
    <w:qFormat/>
    <w:rPr>
      <w:rFonts w:cs="Times New Roman"/>
    </w:rPr>
  </w:style>
  <w:style w:type="character" w:customStyle="1" w:styleId="ListLabel162">
    <w:name w:val="ListLabel 162"/>
    <w:qFormat/>
    <w:rPr>
      <w:rFonts w:cs="Times New Roman"/>
    </w:rPr>
  </w:style>
  <w:style w:type="character" w:customStyle="1" w:styleId="ListLabel163">
    <w:name w:val="ListLabel 163"/>
    <w:qFormat/>
    <w:rPr>
      <w:rFonts w:cs="Times New Roman"/>
    </w:rPr>
  </w:style>
  <w:style w:type="character" w:customStyle="1" w:styleId="ListLabel164">
    <w:name w:val="ListLabel 164"/>
    <w:qFormat/>
    <w:rPr>
      <w:rFonts w:cs="Times New Roman"/>
    </w:rPr>
  </w:style>
  <w:style w:type="character" w:customStyle="1" w:styleId="ListLabel165">
    <w:name w:val="ListLabel 165"/>
    <w:qFormat/>
    <w:rPr>
      <w:rFonts w:cs="Times New Roman"/>
    </w:rPr>
  </w:style>
  <w:style w:type="character" w:customStyle="1" w:styleId="ListLabel166">
    <w:name w:val="ListLabel 166"/>
    <w:qFormat/>
    <w:rPr>
      <w:rFonts w:cs="Times New Roman"/>
    </w:rPr>
  </w:style>
  <w:style w:type="character" w:customStyle="1" w:styleId="ListLabel167">
    <w:name w:val="ListLabel 167"/>
    <w:qFormat/>
    <w:rPr>
      <w:rFonts w:cs="Times New Roman"/>
    </w:rPr>
  </w:style>
  <w:style w:type="character" w:customStyle="1" w:styleId="ListLabel168">
    <w:name w:val="ListLabel 168"/>
    <w:qFormat/>
    <w:rPr>
      <w:rFonts w:cs="Times New Roman"/>
    </w:rPr>
  </w:style>
  <w:style w:type="character" w:customStyle="1" w:styleId="ListLabel169">
    <w:name w:val="ListLabel 169"/>
    <w:qFormat/>
    <w:rPr>
      <w:rFonts w:cs="Times New Roman"/>
    </w:rPr>
  </w:style>
  <w:style w:type="character" w:customStyle="1" w:styleId="ListLabel170">
    <w:name w:val="ListLabel 170"/>
    <w:qFormat/>
    <w:rPr>
      <w:rFonts w:cs="Times New Roman"/>
    </w:rPr>
  </w:style>
  <w:style w:type="character" w:customStyle="1" w:styleId="ListLabel171">
    <w:name w:val="ListLabel 171"/>
    <w:qFormat/>
    <w:rPr>
      <w:rFonts w:cs="Times New Roman"/>
    </w:rPr>
  </w:style>
  <w:style w:type="character" w:customStyle="1" w:styleId="ListLabel172">
    <w:name w:val="ListLabel 172"/>
    <w:qFormat/>
    <w:rPr>
      <w:rFonts w:cs="Times New Roman"/>
    </w:rPr>
  </w:style>
  <w:style w:type="character" w:customStyle="1" w:styleId="ListLabel173">
    <w:name w:val="ListLabel 173"/>
    <w:qFormat/>
    <w:rPr>
      <w:rFonts w:cs="Times New Roman"/>
    </w:rPr>
  </w:style>
  <w:style w:type="character" w:customStyle="1" w:styleId="ListLabel174">
    <w:name w:val="ListLabel 174"/>
    <w:qFormat/>
    <w:rPr>
      <w:rFonts w:cs="Times New Roman"/>
    </w:rPr>
  </w:style>
  <w:style w:type="character" w:customStyle="1" w:styleId="ListLabel175">
    <w:name w:val="ListLabel 175"/>
    <w:qFormat/>
    <w:rPr>
      <w:rFonts w:cs="Times New Roman"/>
    </w:rPr>
  </w:style>
  <w:style w:type="character" w:customStyle="1" w:styleId="ListLabel176">
    <w:name w:val="ListLabel 176"/>
    <w:qFormat/>
    <w:rPr>
      <w:rFonts w:cs="Times New Roman"/>
    </w:rPr>
  </w:style>
  <w:style w:type="character" w:customStyle="1" w:styleId="ListLabel177">
    <w:name w:val="ListLabel 177"/>
    <w:qFormat/>
    <w:rPr>
      <w:rFonts w:cs="Times New Roman"/>
    </w:rPr>
  </w:style>
  <w:style w:type="character" w:customStyle="1" w:styleId="ListLabel178">
    <w:name w:val="ListLabel 178"/>
    <w:qFormat/>
    <w:rPr>
      <w:rFonts w:cs="Times New Roman"/>
    </w:rPr>
  </w:style>
  <w:style w:type="character" w:customStyle="1" w:styleId="ListLabel179">
    <w:name w:val="ListLabel 179"/>
    <w:qFormat/>
    <w:rPr>
      <w:rFonts w:cs="Times New Roman"/>
    </w:rPr>
  </w:style>
  <w:style w:type="character" w:customStyle="1" w:styleId="ListLabel180">
    <w:name w:val="ListLabel 180"/>
    <w:qFormat/>
    <w:rPr>
      <w:rFonts w:cs="Times New Roman"/>
    </w:rPr>
  </w:style>
  <w:style w:type="character" w:customStyle="1" w:styleId="ListLabel181">
    <w:name w:val="ListLabel 181"/>
    <w:qFormat/>
    <w:rPr>
      <w:rFonts w:cs="Times New Roman"/>
    </w:rPr>
  </w:style>
  <w:style w:type="character" w:customStyle="1" w:styleId="ListLabel182">
    <w:name w:val="ListLabel 182"/>
    <w:qFormat/>
    <w:rPr>
      <w:rFonts w:cs="Times New Roman"/>
    </w:rPr>
  </w:style>
  <w:style w:type="character" w:customStyle="1" w:styleId="ListLabel183">
    <w:name w:val="ListLabel 183"/>
    <w:qFormat/>
    <w:rPr>
      <w:rFonts w:cs="Times New Roman"/>
    </w:rPr>
  </w:style>
  <w:style w:type="character" w:customStyle="1" w:styleId="ListLabel184">
    <w:name w:val="ListLabel 184"/>
    <w:qFormat/>
    <w:rPr>
      <w:rFonts w:cs="Times New Roman"/>
    </w:rPr>
  </w:style>
  <w:style w:type="character" w:customStyle="1" w:styleId="ListLabel185">
    <w:name w:val="ListLabel 185"/>
    <w:qFormat/>
    <w:rPr>
      <w:rFonts w:cs="Times New Roman"/>
    </w:rPr>
  </w:style>
  <w:style w:type="character" w:customStyle="1" w:styleId="ListLabel186">
    <w:name w:val="ListLabel 186"/>
    <w:qFormat/>
    <w:rPr>
      <w:rFonts w:cs="Times New Roman"/>
    </w:rPr>
  </w:style>
  <w:style w:type="character" w:customStyle="1" w:styleId="ListLabel187">
    <w:name w:val="ListLabel 187"/>
    <w:qFormat/>
    <w:rPr>
      <w:rFonts w:cs="Times New Roman"/>
    </w:rPr>
  </w:style>
  <w:style w:type="character" w:customStyle="1" w:styleId="ListLabel188">
    <w:name w:val="ListLabel 188"/>
    <w:qFormat/>
    <w:rPr>
      <w:rFonts w:cs="Times New Roman"/>
    </w:rPr>
  </w:style>
  <w:style w:type="character" w:customStyle="1" w:styleId="ListLabel189">
    <w:name w:val="ListLabel 189"/>
    <w:qFormat/>
    <w:rPr>
      <w:rFonts w:cs="Times New Roman"/>
    </w:rPr>
  </w:style>
  <w:style w:type="character" w:customStyle="1" w:styleId="ListLabel190">
    <w:name w:val="ListLabel 190"/>
    <w:qFormat/>
    <w:rPr>
      <w:rFonts w:cs="Times New Roman"/>
    </w:rPr>
  </w:style>
  <w:style w:type="character" w:customStyle="1" w:styleId="ListLabel191">
    <w:name w:val="ListLabel 191"/>
    <w:qFormat/>
    <w:rPr>
      <w:rFonts w:cs="Times New Roman"/>
    </w:rPr>
  </w:style>
  <w:style w:type="character" w:customStyle="1" w:styleId="ListLabel192">
    <w:name w:val="ListLabel 192"/>
    <w:qFormat/>
    <w:rPr>
      <w:rFonts w:cs="Times New Roman"/>
    </w:rPr>
  </w:style>
  <w:style w:type="character" w:customStyle="1" w:styleId="ListLabel193">
    <w:name w:val="ListLabel 193"/>
    <w:qFormat/>
    <w:rPr>
      <w:rFonts w:cs="Times New Roman"/>
    </w:rPr>
  </w:style>
  <w:style w:type="character" w:customStyle="1" w:styleId="ListLabel194">
    <w:name w:val="ListLabel 194"/>
    <w:qFormat/>
    <w:rPr>
      <w:rFonts w:cs="Symbol"/>
    </w:rPr>
  </w:style>
  <w:style w:type="character" w:customStyle="1" w:styleId="ListLabel195">
    <w:name w:val="ListLabel 195"/>
    <w:qFormat/>
    <w:rPr>
      <w:rFonts w:cs="Symbol"/>
    </w:rPr>
  </w:style>
  <w:style w:type="character" w:customStyle="1" w:styleId="ListLabel196">
    <w:name w:val="ListLabel 196"/>
    <w:qFormat/>
    <w:rPr>
      <w:rFonts w:cs="Symbol"/>
    </w:rPr>
  </w:style>
  <w:style w:type="character" w:customStyle="1" w:styleId="ListLabel197">
    <w:name w:val="ListLabel 197"/>
    <w:qFormat/>
    <w:rPr>
      <w:rFonts w:cs="Symbol"/>
    </w:rPr>
  </w:style>
  <w:style w:type="character" w:customStyle="1" w:styleId="ListLabel198">
    <w:name w:val="ListLabel 198"/>
    <w:qFormat/>
    <w:rPr>
      <w:rFonts w:cs="Symbol"/>
    </w:rPr>
  </w:style>
  <w:style w:type="character" w:customStyle="1" w:styleId="ListLabel199">
    <w:name w:val="ListLabel 199"/>
    <w:qFormat/>
    <w:rPr>
      <w:rFonts w:cs="Symbol"/>
    </w:rPr>
  </w:style>
  <w:style w:type="character" w:customStyle="1" w:styleId="ListLabel200">
    <w:name w:val="ListLabel 200"/>
    <w:qFormat/>
    <w:rPr>
      <w:rFonts w:cs="Times New Roman"/>
    </w:rPr>
  </w:style>
  <w:style w:type="character" w:customStyle="1" w:styleId="ListLabel201">
    <w:name w:val="ListLabel 201"/>
    <w:qFormat/>
    <w:rPr>
      <w:rFonts w:cs="Times New Roman"/>
    </w:rPr>
  </w:style>
  <w:style w:type="character" w:customStyle="1" w:styleId="ListLabel202">
    <w:name w:val="ListLabel 202"/>
    <w:qFormat/>
    <w:rPr>
      <w:rFonts w:cs="Times New Roman"/>
    </w:rPr>
  </w:style>
  <w:style w:type="character" w:customStyle="1" w:styleId="ListLabel203">
    <w:name w:val="ListLabel 203"/>
    <w:qFormat/>
    <w:rPr>
      <w:rFonts w:cs="Symbol"/>
    </w:rPr>
  </w:style>
  <w:style w:type="character" w:customStyle="1" w:styleId="ListLabel204">
    <w:name w:val="ListLabel 204"/>
    <w:qFormat/>
    <w:rPr>
      <w:rFonts w:cs="Symbol"/>
    </w:rPr>
  </w:style>
  <w:style w:type="character" w:customStyle="1" w:styleId="ListLabel205">
    <w:name w:val="ListLabel 205"/>
    <w:qFormat/>
    <w:rPr>
      <w:rFonts w:cs="Symbol"/>
    </w:rPr>
  </w:style>
  <w:style w:type="character" w:customStyle="1" w:styleId="ListLabel206">
    <w:name w:val="ListLabel 206"/>
    <w:qFormat/>
    <w:rPr>
      <w:rFonts w:cs="Symbol"/>
    </w:rPr>
  </w:style>
  <w:style w:type="character" w:customStyle="1" w:styleId="ListLabel207">
    <w:name w:val="ListLabel 207"/>
    <w:qFormat/>
    <w:rPr>
      <w:rFonts w:cs="Symbol"/>
    </w:rPr>
  </w:style>
  <w:style w:type="character" w:customStyle="1" w:styleId="ListLabel208">
    <w:name w:val="ListLabel 208"/>
    <w:qFormat/>
    <w:rPr>
      <w:rFonts w:cs="Symbol"/>
    </w:rPr>
  </w:style>
  <w:style w:type="character" w:customStyle="1" w:styleId="ListLabel209">
    <w:name w:val="ListLabel 209"/>
    <w:qFormat/>
    <w:rPr>
      <w:rFonts w:cs="Times New Roman"/>
    </w:rPr>
  </w:style>
  <w:style w:type="character" w:customStyle="1" w:styleId="ListLabel210">
    <w:name w:val="ListLabel 210"/>
    <w:qFormat/>
    <w:rPr>
      <w:rFonts w:cs="Times New Roman"/>
    </w:rPr>
  </w:style>
  <w:style w:type="character" w:customStyle="1" w:styleId="ListLabel211">
    <w:name w:val="ListLabel 211"/>
    <w:qFormat/>
    <w:rPr>
      <w:rFonts w:cs="Times New Roman"/>
    </w:rPr>
  </w:style>
  <w:style w:type="character" w:customStyle="1" w:styleId="ListLabel212">
    <w:name w:val="ListLabel 212"/>
    <w:qFormat/>
    <w:rPr>
      <w:rFonts w:cs="Symbol"/>
    </w:rPr>
  </w:style>
  <w:style w:type="character" w:customStyle="1" w:styleId="ListLabel213">
    <w:name w:val="ListLabel 213"/>
    <w:qFormat/>
    <w:rPr>
      <w:rFonts w:cs="Symbol"/>
    </w:rPr>
  </w:style>
  <w:style w:type="character" w:customStyle="1" w:styleId="ListLabel214">
    <w:name w:val="ListLabel 214"/>
    <w:qFormat/>
    <w:rPr>
      <w:rFonts w:cs="Symbol"/>
    </w:rPr>
  </w:style>
  <w:style w:type="character" w:customStyle="1" w:styleId="ListLabel215">
    <w:name w:val="ListLabel 215"/>
    <w:qFormat/>
    <w:rPr>
      <w:rFonts w:cs="Symbol"/>
    </w:rPr>
  </w:style>
  <w:style w:type="character" w:customStyle="1" w:styleId="ListLabel216">
    <w:name w:val="ListLabel 216"/>
    <w:qFormat/>
    <w:rPr>
      <w:rFonts w:cs="Symbol"/>
    </w:rPr>
  </w:style>
  <w:style w:type="character" w:customStyle="1" w:styleId="ListLabel217">
    <w:name w:val="ListLabel 217"/>
    <w:qFormat/>
    <w:rPr>
      <w:rFonts w:cs="Symbol"/>
    </w:rPr>
  </w:style>
  <w:style w:type="character" w:customStyle="1" w:styleId="ListLabel218">
    <w:name w:val="ListLabel 218"/>
    <w:qFormat/>
    <w:rPr>
      <w:rFonts w:cs="Times New Roman"/>
    </w:rPr>
  </w:style>
  <w:style w:type="character" w:customStyle="1" w:styleId="ListLabel219">
    <w:name w:val="ListLabel 219"/>
    <w:qFormat/>
    <w:rPr>
      <w:rFonts w:cs="Times New Roman"/>
    </w:rPr>
  </w:style>
  <w:style w:type="character" w:customStyle="1" w:styleId="ListLabel220">
    <w:name w:val="ListLabel 220"/>
    <w:qFormat/>
    <w:rPr>
      <w:rFonts w:cs="Times New Roman"/>
    </w:rPr>
  </w:style>
  <w:style w:type="character" w:customStyle="1" w:styleId="ListLabel221">
    <w:name w:val="ListLabel 221"/>
    <w:qFormat/>
    <w:rPr>
      <w:rFonts w:cs="Symbol"/>
    </w:rPr>
  </w:style>
  <w:style w:type="character" w:customStyle="1" w:styleId="ListLabel222">
    <w:name w:val="ListLabel 222"/>
    <w:qFormat/>
    <w:rPr>
      <w:rFonts w:cs="Symbol"/>
    </w:rPr>
  </w:style>
  <w:style w:type="character" w:customStyle="1" w:styleId="ListLabel223">
    <w:name w:val="ListLabel 223"/>
    <w:qFormat/>
    <w:rPr>
      <w:rFonts w:cs="Symbol"/>
    </w:rPr>
  </w:style>
  <w:style w:type="character" w:customStyle="1" w:styleId="ListLabel224">
    <w:name w:val="ListLabel 224"/>
    <w:qFormat/>
    <w:rPr>
      <w:rFonts w:cs="Symbol"/>
    </w:rPr>
  </w:style>
  <w:style w:type="character" w:customStyle="1" w:styleId="ListLabel225">
    <w:name w:val="ListLabel 225"/>
    <w:qFormat/>
    <w:rPr>
      <w:rFonts w:cs="Symbol"/>
    </w:rPr>
  </w:style>
  <w:style w:type="character" w:customStyle="1" w:styleId="ListLabel226">
    <w:name w:val="ListLabel 226"/>
    <w:qFormat/>
    <w:rPr>
      <w:rFonts w:cs="Symbol"/>
    </w:rPr>
  </w:style>
  <w:style w:type="character" w:customStyle="1" w:styleId="ListLabel227">
    <w:name w:val="ListLabel 227"/>
    <w:qFormat/>
    <w:rPr>
      <w:rFonts w:cs="Times New Roman"/>
    </w:rPr>
  </w:style>
  <w:style w:type="character" w:customStyle="1" w:styleId="ListLabel228">
    <w:name w:val="ListLabel 228"/>
    <w:qFormat/>
    <w:rPr>
      <w:rFonts w:cs="Times New Roman"/>
    </w:rPr>
  </w:style>
  <w:style w:type="character" w:customStyle="1" w:styleId="ListLabel229">
    <w:name w:val="ListLabel 229"/>
    <w:qFormat/>
    <w:rPr>
      <w:rFonts w:cs="Times New Roman"/>
    </w:rPr>
  </w:style>
  <w:style w:type="character" w:customStyle="1" w:styleId="ListLabel230">
    <w:name w:val="ListLabel 230"/>
    <w:qFormat/>
    <w:rPr>
      <w:rFonts w:cs="Symbol"/>
    </w:rPr>
  </w:style>
  <w:style w:type="character" w:customStyle="1" w:styleId="ListLabel231">
    <w:name w:val="ListLabel 231"/>
    <w:qFormat/>
    <w:rPr>
      <w:rFonts w:cs="Symbol"/>
    </w:rPr>
  </w:style>
  <w:style w:type="character" w:customStyle="1" w:styleId="ListLabel232">
    <w:name w:val="ListLabel 232"/>
    <w:qFormat/>
    <w:rPr>
      <w:rFonts w:cs="Symbol"/>
    </w:rPr>
  </w:style>
  <w:style w:type="character" w:customStyle="1" w:styleId="ListLabel233">
    <w:name w:val="ListLabel 233"/>
    <w:qFormat/>
    <w:rPr>
      <w:rFonts w:cs="Symbol"/>
    </w:rPr>
  </w:style>
  <w:style w:type="character" w:customStyle="1" w:styleId="ListLabel234">
    <w:name w:val="ListLabel 234"/>
    <w:qFormat/>
    <w:rPr>
      <w:rFonts w:cs="Symbol"/>
    </w:rPr>
  </w:style>
  <w:style w:type="character" w:customStyle="1" w:styleId="ListLabel235">
    <w:name w:val="ListLabel 235"/>
    <w:qFormat/>
    <w:rPr>
      <w:rFonts w:cs="Symbol"/>
    </w:rPr>
  </w:style>
  <w:style w:type="character" w:customStyle="1" w:styleId="ListLabel236">
    <w:name w:val="ListLabel 236"/>
    <w:qFormat/>
    <w:rPr>
      <w:rFonts w:cs="Times New Roman"/>
    </w:rPr>
  </w:style>
  <w:style w:type="character" w:customStyle="1" w:styleId="ListLabel237">
    <w:name w:val="ListLabel 237"/>
    <w:qFormat/>
    <w:rPr>
      <w:rFonts w:cs="Times New Roman"/>
    </w:rPr>
  </w:style>
  <w:style w:type="character" w:customStyle="1" w:styleId="ListLabel238">
    <w:name w:val="ListLabel 238"/>
    <w:qFormat/>
    <w:rPr>
      <w:rFonts w:cs="Times New Roman"/>
    </w:rPr>
  </w:style>
  <w:style w:type="character" w:customStyle="1" w:styleId="ListLabel239">
    <w:name w:val="ListLabel 239"/>
    <w:qFormat/>
    <w:rPr>
      <w:rFonts w:cs="Symbol"/>
    </w:rPr>
  </w:style>
  <w:style w:type="character" w:customStyle="1" w:styleId="ListLabel240">
    <w:name w:val="ListLabel 240"/>
    <w:qFormat/>
    <w:rPr>
      <w:rFonts w:cs="Symbol"/>
    </w:rPr>
  </w:style>
  <w:style w:type="character" w:customStyle="1" w:styleId="ListLabel241">
    <w:name w:val="ListLabel 241"/>
    <w:qFormat/>
    <w:rPr>
      <w:rFonts w:cs="Symbol"/>
    </w:rPr>
  </w:style>
  <w:style w:type="character" w:customStyle="1" w:styleId="ListLabel242">
    <w:name w:val="ListLabel 242"/>
    <w:qFormat/>
    <w:rPr>
      <w:rFonts w:cs="Symbol"/>
    </w:rPr>
  </w:style>
  <w:style w:type="character" w:customStyle="1" w:styleId="ListLabel243">
    <w:name w:val="ListLabel 243"/>
    <w:qFormat/>
    <w:rPr>
      <w:rFonts w:cs="Symbol"/>
    </w:rPr>
  </w:style>
  <w:style w:type="character" w:customStyle="1" w:styleId="ListLabel244">
    <w:name w:val="ListLabel 244"/>
    <w:qFormat/>
    <w:rPr>
      <w:rFonts w:cs="Symbol"/>
    </w:rPr>
  </w:style>
  <w:style w:type="character" w:customStyle="1" w:styleId="ListLabel245">
    <w:name w:val="ListLabel 245"/>
    <w:qFormat/>
    <w:rPr>
      <w:rFonts w:cs="Times New Roman"/>
    </w:rPr>
  </w:style>
  <w:style w:type="character" w:customStyle="1" w:styleId="ListLabel246">
    <w:name w:val="ListLabel 246"/>
    <w:qFormat/>
    <w:rPr>
      <w:rFonts w:cs="Times New Roman"/>
    </w:rPr>
  </w:style>
  <w:style w:type="character" w:customStyle="1" w:styleId="ListLabel247">
    <w:name w:val="ListLabel 247"/>
    <w:qFormat/>
    <w:rPr>
      <w:rFonts w:cs="Times New Roman"/>
    </w:rPr>
  </w:style>
  <w:style w:type="character" w:customStyle="1" w:styleId="ListLabel248">
    <w:name w:val="ListLabel 248"/>
    <w:qFormat/>
    <w:rPr>
      <w:rFonts w:cs="Symbol"/>
    </w:rPr>
  </w:style>
  <w:style w:type="character" w:customStyle="1" w:styleId="ListLabel249">
    <w:name w:val="ListLabel 249"/>
    <w:qFormat/>
    <w:rPr>
      <w:rFonts w:cs="Symbol"/>
    </w:rPr>
  </w:style>
  <w:style w:type="character" w:customStyle="1" w:styleId="ListLabel250">
    <w:name w:val="ListLabel 250"/>
    <w:qFormat/>
    <w:rPr>
      <w:rFonts w:cs="Symbol"/>
    </w:rPr>
  </w:style>
  <w:style w:type="character" w:customStyle="1" w:styleId="ListLabel251">
    <w:name w:val="ListLabel 251"/>
    <w:qFormat/>
    <w:rPr>
      <w:rFonts w:cs="Symbol"/>
    </w:rPr>
  </w:style>
  <w:style w:type="character" w:customStyle="1" w:styleId="ListLabel252">
    <w:name w:val="ListLabel 252"/>
    <w:qFormat/>
    <w:rPr>
      <w:rFonts w:cs="Symbol"/>
    </w:rPr>
  </w:style>
  <w:style w:type="character" w:customStyle="1" w:styleId="ListLabel253">
    <w:name w:val="ListLabel 253"/>
    <w:qFormat/>
    <w:rPr>
      <w:rFonts w:cs="Symbol"/>
    </w:rPr>
  </w:style>
  <w:style w:type="character" w:customStyle="1" w:styleId="ListLabel254">
    <w:name w:val="ListLabel 254"/>
    <w:qFormat/>
    <w:rPr>
      <w:rFonts w:cs="Times New Roman"/>
    </w:rPr>
  </w:style>
  <w:style w:type="character" w:customStyle="1" w:styleId="ListLabel255">
    <w:name w:val="ListLabel 255"/>
    <w:qFormat/>
    <w:rPr>
      <w:rFonts w:cs="Times New Roman"/>
    </w:rPr>
  </w:style>
  <w:style w:type="character" w:customStyle="1" w:styleId="ListLabel256">
    <w:name w:val="ListLabel 256"/>
    <w:qFormat/>
    <w:rPr>
      <w:rFonts w:cs="Times New Roman"/>
    </w:rPr>
  </w:style>
  <w:style w:type="character" w:customStyle="1" w:styleId="ListLabel257">
    <w:name w:val="ListLabel 257"/>
    <w:qFormat/>
    <w:rPr>
      <w:rFonts w:cs="Symbol"/>
    </w:rPr>
  </w:style>
  <w:style w:type="character" w:customStyle="1" w:styleId="ListLabel258">
    <w:name w:val="ListLabel 258"/>
    <w:qFormat/>
    <w:rPr>
      <w:rFonts w:cs="Symbol"/>
    </w:rPr>
  </w:style>
  <w:style w:type="character" w:customStyle="1" w:styleId="ListLabel259">
    <w:name w:val="ListLabel 259"/>
    <w:qFormat/>
    <w:rPr>
      <w:rFonts w:cs="Symbol"/>
    </w:rPr>
  </w:style>
  <w:style w:type="character" w:customStyle="1" w:styleId="ListLabel260">
    <w:name w:val="ListLabel 260"/>
    <w:qFormat/>
    <w:rPr>
      <w:rFonts w:cs="Symbol"/>
    </w:rPr>
  </w:style>
  <w:style w:type="character" w:customStyle="1" w:styleId="ListLabel261">
    <w:name w:val="ListLabel 261"/>
    <w:qFormat/>
    <w:rPr>
      <w:rFonts w:cs="Symbol"/>
    </w:rPr>
  </w:style>
  <w:style w:type="character" w:customStyle="1" w:styleId="ListLabel262">
    <w:name w:val="ListLabel 262"/>
    <w:qFormat/>
    <w:rPr>
      <w:rFonts w:cs="Symbol"/>
    </w:rPr>
  </w:style>
  <w:style w:type="character" w:customStyle="1" w:styleId="ListLabel263">
    <w:name w:val="ListLabel 263"/>
    <w:qFormat/>
    <w:rPr>
      <w:rFonts w:cs="Times New Roman"/>
    </w:rPr>
  </w:style>
  <w:style w:type="character" w:customStyle="1" w:styleId="ListLabel264">
    <w:name w:val="ListLabel 264"/>
    <w:qFormat/>
    <w:rPr>
      <w:rFonts w:cs="Times New Roman"/>
    </w:rPr>
  </w:style>
  <w:style w:type="character" w:customStyle="1" w:styleId="ListLabel265">
    <w:name w:val="ListLabel 265"/>
    <w:qFormat/>
    <w:rPr>
      <w:rFonts w:cs="Times New Roman"/>
    </w:rPr>
  </w:style>
  <w:style w:type="character" w:customStyle="1" w:styleId="ListLabel266">
    <w:name w:val="ListLabel 266"/>
    <w:qFormat/>
    <w:rPr>
      <w:rFonts w:cs="Symbol"/>
    </w:rPr>
  </w:style>
  <w:style w:type="character" w:customStyle="1" w:styleId="ListLabel267">
    <w:name w:val="ListLabel 267"/>
    <w:qFormat/>
    <w:rPr>
      <w:rFonts w:cs="Symbol"/>
    </w:rPr>
  </w:style>
  <w:style w:type="character" w:customStyle="1" w:styleId="ListLabel268">
    <w:name w:val="ListLabel 268"/>
    <w:qFormat/>
    <w:rPr>
      <w:rFonts w:cs="Symbol"/>
    </w:rPr>
  </w:style>
  <w:style w:type="character" w:customStyle="1" w:styleId="ListLabel269">
    <w:name w:val="ListLabel 269"/>
    <w:qFormat/>
    <w:rPr>
      <w:rFonts w:cs="Symbol"/>
    </w:rPr>
  </w:style>
  <w:style w:type="character" w:customStyle="1" w:styleId="ListLabel270">
    <w:name w:val="ListLabel 270"/>
    <w:qFormat/>
    <w:rPr>
      <w:rFonts w:cs="Symbol"/>
    </w:rPr>
  </w:style>
  <w:style w:type="character" w:customStyle="1" w:styleId="ListLabel271">
    <w:name w:val="ListLabel 271"/>
    <w:qFormat/>
    <w:rPr>
      <w:rFonts w:cs="Symbol"/>
    </w:rPr>
  </w:style>
  <w:style w:type="character" w:customStyle="1" w:styleId="ListLabel272">
    <w:name w:val="ListLabel 272"/>
    <w:qFormat/>
    <w:rPr>
      <w:rFonts w:cs="Times New Roman"/>
    </w:rPr>
  </w:style>
  <w:style w:type="character" w:customStyle="1" w:styleId="ListLabel273">
    <w:name w:val="ListLabel 273"/>
    <w:qFormat/>
    <w:rPr>
      <w:rFonts w:cs="Times New Roman"/>
    </w:rPr>
  </w:style>
  <w:style w:type="character" w:customStyle="1" w:styleId="ListLabel274">
    <w:name w:val="ListLabel 274"/>
    <w:qFormat/>
    <w:rPr>
      <w:rFonts w:cs="Times New Roman"/>
    </w:rPr>
  </w:style>
  <w:style w:type="character" w:customStyle="1" w:styleId="ListLabel275">
    <w:name w:val="ListLabel 275"/>
    <w:qFormat/>
    <w:rPr>
      <w:rFonts w:cs="Symbol"/>
    </w:rPr>
  </w:style>
  <w:style w:type="character" w:customStyle="1" w:styleId="ListLabel276">
    <w:name w:val="ListLabel 276"/>
    <w:qFormat/>
    <w:rPr>
      <w:rFonts w:cs="Symbol"/>
    </w:rPr>
  </w:style>
  <w:style w:type="character" w:customStyle="1" w:styleId="ListLabel277">
    <w:name w:val="ListLabel 277"/>
    <w:qFormat/>
    <w:rPr>
      <w:rFonts w:cs="Symbol"/>
    </w:rPr>
  </w:style>
  <w:style w:type="character" w:customStyle="1" w:styleId="ListLabel278">
    <w:name w:val="ListLabel 278"/>
    <w:qFormat/>
    <w:rPr>
      <w:rFonts w:cs="Symbol"/>
    </w:rPr>
  </w:style>
  <w:style w:type="character" w:customStyle="1" w:styleId="ListLabel279">
    <w:name w:val="ListLabel 279"/>
    <w:qFormat/>
    <w:rPr>
      <w:rFonts w:cs="Symbol"/>
    </w:rPr>
  </w:style>
  <w:style w:type="character" w:customStyle="1" w:styleId="ListLabel280">
    <w:name w:val="ListLabel 280"/>
    <w:qFormat/>
    <w:rPr>
      <w:rFonts w:cs="Symbol"/>
    </w:rPr>
  </w:style>
  <w:style w:type="character" w:customStyle="1" w:styleId="ListLabel281">
    <w:name w:val="ListLabel 281"/>
    <w:qFormat/>
    <w:rPr>
      <w:rFonts w:cs="Times New Roman"/>
    </w:rPr>
  </w:style>
  <w:style w:type="character" w:customStyle="1" w:styleId="ListLabel282">
    <w:name w:val="ListLabel 282"/>
    <w:qFormat/>
    <w:rPr>
      <w:rFonts w:cs="Times New Roman"/>
    </w:rPr>
  </w:style>
  <w:style w:type="character" w:customStyle="1" w:styleId="ListLabel283">
    <w:name w:val="ListLabel 283"/>
    <w:qFormat/>
    <w:rPr>
      <w:rFonts w:cs="Times New Roman"/>
    </w:rPr>
  </w:style>
  <w:style w:type="character" w:customStyle="1" w:styleId="ListLabel284">
    <w:name w:val="ListLabel 284"/>
    <w:qFormat/>
    <w:rPr>
      <w:rFonts w:cs="Symbol"/>
    </w:rPr>
  </w:style>
  <w:style w:type="character" w:customStyle="1" w:styleId="ListLabel285">
    <w:name w:val="ListLabel 285"/>
    <w:qFormat/>
    <w:rPr>
      <w:rFonts w:cs="Symbol"/>
    </w:rPr>
  </w:style>
  <w:style w:type="character" w:customStyle="1" w:styleId="ListLabel286">
    <w:name w:val="ListLabel 286"/>
    <w:qFormat/>
    <w:rPr>
      <w:rFonts w:cs="Symbol"/>
    </w:rPr>
  </w:style>
  <w:style w:type="character" w:customStyle="1" w:styleId="ListLabel287">
    <w:name w:val="ListLabel 287"/>
    <w:qFormat/>
    <w:rPr>
      <w:rFonts w:cs="Symbol"/>
    </w:rPr>
  </w:style>
  <w:style w:type="character" w:customStyle="1" w:styleId="ListLabel288">
    <w:name w:val="ListLabel 288"/>
    <w:qFormat/>
    <w:rPr>
      <w:rFonts w:cs="Symbol"/>
    </w:rPr>
  </w:style>
  <w:style w:type="character" w:customStyle="1" w:styleId="ListLabel289">
    <w:name w:val="ListLabel 289"/>
    <w:qFormat/>
    <w:rPr>
      <w:rFonts w:cs="Symbol"/>
    </w:rPr>
  </w:style>
  <w:style w:type="character" w:customStyle="1" w:styleId="ListLabel290">
    <w:name w:val="ListLabel 290"/>
    <w:qFormat/>
    <w:rPr>
      <w:rFonts w:ascii="Times New Roman" w:hAnsi="Times New Roman" w:cs="Times New Roman"/>
    </w:rPr>
  </w:style>
  <w:style w:type="character" w:customStyle="1" w:styleId="ListLabel291">
    <w:name w:val="ListLabel 291"/>
    <w:qFormat/>
    <w:rPr>
      <w:rFonts w:cs="Times New Roman"/>
    </w:rPr>
  </w:style>
  <w:style w:type="character" w:customStyle="1" w:styleId="ListLabel292">
    <w:name w:val="ListLabel 292"/>
    <w:qFormat/>
    <w:rPr>
      <w:rFonts w:cs="Times New Roman"/>
    </w:rPr>
  </w:style>
  <w:style w:type="character" w:customStyle="1" w:styleId="ListLabel293">
    <w:name w:val="ListLabel 293"/>
    <w:qFormat/>
    <w:rPr>
      <w:rFonts w:cs="Symbol"/>
    </w:rPr>
  </w:style>
  <w:style w:type="character" w:customStyle="1" w:styleId="ListLabel294">
    <w:name w:val="ListLabel 294"/>
    <w:qFormat/>
    <w:rPr>
      <w:rFonts w:cs="Symbol"/>
    </w:rPr>
  </w:style>
  <w:style w:type="character" w:customStyle="1" w:styleId="ListLabel295">
    <w:name w:val="ListLabel 295"/>
    <w:qFormat/>
    <w:rPr>
      <w:rFonts w:cs="Symbol"/>
    </w:rPr>
  </w:style>
  <w:style w:type="character" w:customStyle="1" w:styleId="ListLabel296">
    <w:name w:val="ListLabel 296"/>
    <w:qFormat/>
    <w:rPr>
      <w:rFonts w:cs="Symbol"/>
    </w:rPr>
  </w:style>
  <w:style w:type="character" w:customStyle="1" w:styleId="ListLabel297">
    <w:name w:val="ListLabel 297"/>
    <w:qFormat/>
    <w:rPr>
      <w:rFonts w:cs="Symbol"/>
    </w:rPr>
  </w:style>
  <w:style w:type="character" w:customStyle="1" w:styleId="ListLabel298">
    <w:name w:val="ListLabel 298"/>
    <w:qFormat/>
    <w:rPr>
      <w:rFonts w:cs="Symbol"/>
    </w:rPr>
  </w:style>
  <w:style w:type="character" w:customStyle="1" w:styleId="ListLabel299">
    <w:name w:val="ListLabel 299"/>
    <w:qFormat/>
    <w:rPr>
      <w:rFonts w:cs="Times New Roman"/>
    </w:rPr>
  </w:style>
  <w:style w:type="character" w:customStyle="1" w:styleId="ListLabel300">
    <w:name w:val="ListLabel 300"/>
    <w:qFormat/>
    <w:rPr>
      <w:rFonts w:cs="Times New Roman"/>
    </w:rPr>
  </w:style>
  <w:style w:type="character" w:customStyle="1" w:styleId="ListLabel301">
    <w:name w:val="ListLabel 301"/>
    <w:qFormat/>
    <w:rPr>
      <w:rFonts w:cs="Times New Roman"/>
    </w:rPr>
  </w:style>
  <w:style w:type="character" w:customStyle="1" w:styleId="ListLabel302">
    <w:name w:val="ListLabel 302"/>
    <w:qFormat/>
    <w:rPr>
      <w:rFonts w:cs="Symbol"/>
    </w:rPr>
  </w:style>
  <w:style w:type="character" w:customStyle="1" w:styleId="ListLabel303">
    <w:name w:val="ListLabel 303"/>
    <w:qFormat/>
    <w:rPr>
      <w:rFonts w:cs="Symbol"/>
    </w:rPr>
  </w:style>
  <w:style w:type="character" w:customStyle="1" w:styleId="ListLabel304">
    <w:name w:val="ListLabel 304"/>
    <w:qFormat/>
    <w:rPr>
      <w:rFonts w:cs="Symbol"/>
    </w:rPr>
  </w:style>
  <w:style w:type="character" w:customStyle="1" w:styleId="ListLabel305">
    <w:name w:val="ListLabel 305"/>
    <w:qFormat/>
    <w:rPr>
      <w:rFonts w:cs="Symbol"/>
    </w:rPr>
  </w:style>
  <w:style w:type="character" w:customStyle="1" w:styleId="ListLabel306">
    <w:name w:val="ListLabel 306"/>
    <w:qFormat/>
    <w:rPr>
      <w:rFonts w:cs="Symbol"/>
    </w:rPr>
  </w:style>
  <w:style w:type="character" w:customStyle="1" w:styleId="ListLabel307">
    <w:name w:val="ListLabel 307"/>
    <w:qFormat/>
    <w:rPr>
      <w:rFonts w:cs="Symbol"/>
    </w:rPr>
  </w:style>
  <w:style w:type="character" w:customStyle="1" w:styleId="ListLabel308">
    <w:name w:val="ListLabel 308"/>
    <w:qFormat/>
    <w:rPr>
      <w:rFonts w:cs="Times New Roman"/>
    </w:rPr>
  </w:style>
  <w:style w:type="character" w:customStyle="1" w:styleId="ListLabel309">
    <w:name w:val="ListLabel 309"/>
    <w:qFormat/>
    <w:rPr>
      <w:rFonts w:cs="Times New Roman"/>
    </w:rPr>
  </w:style>
  <w:style w:type="character" w:customStyle="1" w:styleId="ListLabel310">
    <w:name w:val="ListLabel 310"/>
    <w:qFormat/>
    <w:rPr>
      <w:rFonts w:cs="Times New Roman"/>
    </w:rPr>
  </w:style>
  <w:style w:type="character" w:customStyle="1" w:styleId="ListLabel311">
    <w:name w:val="ListLabel 311"/>
    <w:qFormat/>
    <w:rPr>
      <w:rFonts w:cs="Symbol"/>
    </w:rPr>
  </w:style>
  <w:style w:type="character" w:customStyle="1" w:styleId="ListLabel312">
    <w:name w:val="ListLabel 312"/>
    <w:qFormat/>
    <w:rPr>
      <w:rFonts w:cs="Symbol"/>
    </w:rPr>
  </w:style>
  <w:style w:type="character" w:customStyle="1" w:styleId="ListLabel313">
    <w:name w:val="ListLabel 313"/>
    <w:qFormat/>
    <w:rPr>
      <w:rFonts w:cs="Symbol"/>
    </w:rPr>
  </w:style>
  <w:style w:type="character" w:customStyle="1" w:styleId="ListLabel314">
    <w:name w:val="ListLabel 314"/>
    <w:qFormat/>
    <w:rPr>
      <w:rFonts w:cs="Symbol"/>
    </w:rPr>
  </w:style>
  <w:style w:type="character" w:customStyle="1" w:styleId="ListLabel315">
    <w:name w:val="ListLabel 315"/>
    <w:qFormat/>
    <w:rPr>
      <w:rFonts w:cs="Symbol"/>
    </w:rPr>
  </w:style>
  <w:style w:type="character" w:customStyle="1" w:styleId="ListLabel316">
    <w:name w:val="ListLabel 316"/>
    <w:qFormat/>
    <w:rPr>
      <w:rFonts w:cs="Symbol"/>
    </w:rPr>
  </w:style>
  <w:style w:type="character" w:customStyle="1" w:styleId="ListLabel317">
    <w:name w:val="ListLabel 317"/>
    <w:qFormat/>
    <w:rPr>
      <w:rFonts w:cs="Times New Roman"/>
    </w:rPr>
  </w:style>
  <w:style w:type="character" w:customStyle="1" w:styleId="ListLabel318">
    <w:name w:val="ListLabel 318"/>
    <w:qFormat/>
    <w:rPr>
      <w:rFonts w:cs="Times New Roman"/>
    </w:rPr>
  </w:style>
  <w:style w:type="character" w:customStyle="1" w:styleId="ListLabel319">
    <w:name w:val="ListLabel 319"/>
    <w:qFormat/>
    <w:rPr>
      <w:rFonts w:cs="Times New Roman"/>
    </w:rPr>
  </w:style>
  <w:style w:type="character" w:customStyle="1" w:styleId="ListLabel320">
    <w:name w:val="ListLabel 320"/>
    <w:qFormat/>
    <w:rPr>
      <w:rFonts w:cs="Symbol"/>
    </w:rPr>
  </w:style>
  <w:style w:type="character" w:customStyle="1" w:styleId="ListLabel321">
    <w:name w:val="ListLabel 321"/>
    <w:qFormat/>
    <w:rPr>
      <w:rFonts w:cs="Symbol"/>
    </w:rPr>
  </w:style>
  <w:style w:type="character" w:customStyle="1" w:styleId="ListLabel322">
    <w:name w:val="ListLabel 322"/>
    <w:qFormat/>
    <w:rPr>
      <w:rFonts w:cs="Symbol"/>
    </w:rPr>
  </w:style>
  <w:style w:type="character" w:customStyle="1" w:styleId="ListLabel323">
    <w:name w:val="ListLabel 323"/>
    <w:qFormat/>
    <w:rPr>
      <w:rFonts w:cs="Symbol"/>
    </w:rPr>
  </w:style>
  <w:style w:type="character" w:customStyle="1" w:styleId="ListLabel324">
    <w:name w:val="ListLabel 324"/>
    <w:qFormat/>
    <w:rPr>
      <w:rFonts w:cs="Symbol"/>
    </w:rPr>
  </w:style>
  <w:style w:type="character" w:customStyle="1" w:styleId="ListLabel325">
    <w:name w:val="ListLabel 325"/>
    <w:qFormat/>
    <w:rPr>
      <w:rFonts w:cs="Symbol"/>
    </w:rPr>
  </w:style>
  <w:style w:type="character" w:customStyle="1" w:styleId="ListLabel326">
    <w:name w:val="ListLabel 326"/>
    <w:qFormat/>
    <w:rPr>
      <w:rFonts w:cs="Times New Roman"/>
    </w:rPr>
  </w:style>
  <w:style w:type="character" w:customStyle="1" w:styleId="ListLabel327">
    <w:name w:val="ListLabel 327"/>
    <w:qFormat/>
    <w:rPr>
      <w:rFonts w:cs="Times New Roman"/>
    </w:rPr>
  </w:style>
  <w:style w:type="character" w:customStyle="1" w:styleId="ListLabel328">
    <w:name w:val="ListLabel 328"/>
    <w:qFormat/>
    <w:rPr>
      <w:rFonts w:cs="Times New Roman"/>
    </w:rPr>
  </w:style>
  <w:style w:type="character" w:customStyle="1" w:styleId="ListLabel329">
    <w:name w:val="ListLabel 329"/>
    <w:qFormat/>
    <w:rPr>
      <w:rFonts w:cs="Symbol"/>
    </w:rPr>
  </w:style>
  <w:style w:type="character" w:customStyle="1" w:styleId="ListLabel330">
    <w:name w:val="ListLabel 330"/>
    <w:qFormat/>
    <w:rPr>
      <w:rFonts w:cs="Symbol"/>
    </w:rPr>
  </w:style>
  <w:style w:type="character" w:customStyle="1" w:styleId="ListLabel331">
    <w:name w:val="ListLabel 331"/>
    <w:qFormat/>
    <w:rPr>
      <w:rFonts w:cs="Symbol"/>
    </w:rPr>
  </w:style>
  <w:style w:type="character" w:customStyle="1" w:styleId="ListLabel332">
    <w:name w:val="ListLabel 332"/>
    <w:qFormat/>
    <w:rPr>
      <w:rFonts w:cs="Symbol"/>
    </w:rPr>
  </w:style>
  <w:style w:type="character" w:customStyle="1" w:styleId="ListLabel333">
    <w:name w:val="ListLabel 333"/>
    <w:qFormat/>
    <w:rPr>
      <w:rFonts w:cs="Symbol"/>
    </w:rPr>
  </w:style>
  <w:style w:type="character" w:customStyle="1" w:styleId="ListLabel334">
    <w:name w:val="ListLabel 334"/>
    <w:qFormat/>
    <w:rPr>
      <w:rFonts w:cs="Symbol"/>
    </w:rPr>
  </w:style>
  <w:style w:type="character" w:customStyle="1" w:styleId="ListLabel335">
    <w:name w:val="ListLabel 335"/>
    <w:qFormat/>
    <w:rPr>
      <w:rFonts w:cs="Times New Roman"/>
    </w:rPr>
  </w:style>
  <w:style w:type="character" w:customStyle="1" w:styleId="ListLabel336">
    <w:name w:val="ListLabel 336"/>
    <w:qFormat/>
    <w:rPr>
      <w:rFonts w:cs="Times New Roman"/>
    </w:rPr>
  </w:style>
  <w:style w:type="character" w:customStyle="1" w:styleId="ListLabel337">
    <w:name w:val="ListLabel 337"/>
    <w:qFormat/>
    <w:rPr>
      <w:rFonts w:cs="Times New Roman"/>
    </w:rPr>
  </w:style>
  <w:style w:type="character" w:customStyle="1" w:styleId="ListLabel338">
    <w:name w:val="ListLabel 338"/>
    <w:qFormat/>
    <w:rPr>
      <w:rFonts w:cs="Symbol"/>
    </w:rPr>
  </w:style>
  <w:style w:type="character" w:customStyle="1" w:styleId="ListLabel339">
    <w:name w:val="ListLabel 339"/>
    <w:qFormat/>
    <w:rPr>
      <w:rFonts w:cs="Symbol"/>
    </w:rPr>
  </w:style>
  <w:style w:type="character" w:customStyle="1" w:styleId="ListLabel340">
    <w:name w:val="ListLabel 340"/>
    <w:qFormat/>
    <w:rPr>
      <w:rFonts w:cs="Symbol"/>
    </w:rPr>
  </w:style>
  <w:style w:type="character" w:customStyle="1" w:styleId="ListLabel341">
    <w:name w:val="ListLabel 341"/>
    <w:qFormat/>
    <w:rPr>
      <w:rFonts w:cs="Symbol"/>
    </w:rPr>
  </w:style>
  <w:style w:type="character" w:customStyle="1" w:styleId="ListLabel342">
    <w:name w:val="ListLabel 342"/>
    <w:qFormat/>
    <w:rPr>
      <w:rFonts w:cs="Symbol"/>
    </w:rPr>
  </w:style>
  <w:style w:type="character" w:customStyle="1" w:styleId="ListLabel343">
    <w:name w:val="ListLabel 343"/>
    <w:qFormat/>
    <w:rPr>
      <w:rFonts w:cs="Symbol"/>
    </w:rPr>
  </w:style>
  <w:style w:type="character" w:customStyle="1" w:styleId="ListLabel344">
    <w:name w:val="ListLabel 344"/>
    <w:qFormat/>
    <w:rPr>
      <w:rFonts w:cs="Times New Roman"/>
    </w:rPr>
  </w:style>
  <w:style w:type="character" w:customStyle="1" w:styleId="ListLabel345">
    <w:name w:val="ListLabel 345"/>
    <w:qFormat/>
    <w:rPr>
      <w:rFonts w:cs="Times New Roman"/>
    </w:rPr>
  </w:style>
  <w:style w:type="character" w:customStyle="1" w:styleId="ListLabel346">
    <w:name w:val="ListLabel 346"/>
    <w:qFormat/>
    <w:rPr>
      <w:rFonts w:cs="Times New Roman"/>
    </w:rPr>
  </w:style>
  <w:style w:type="character" w:customStyle="1" w:styleId="ListLabel347">
    <w:name w:val="ListLabel 347"/>
    <w:qFormat/>
    <w:rPr>
      <w:rFonts w:cs="Symbol"/>
    </w:rPr>
  </w:style>
  <w:style w:type="character" w:customStyle="1" w:styleId="ListLabel348">
    <w:name w:val="ListLabel 348"/>
    <w:qFormat/>
    <w:rPr>
      <w:rFonts w:cs="Symbol"/>
    </w:rPr>
  </w:style>
  <w:style w:type="character" w:customStyle="1" w:styleId="ListLabel349">
    <w:name w:val="ListLabel 349"/>
    <w:qFormat/>
    <w:rPr>
      <w:rFonts w:cs="Symbol"/>
    </w:rPr>
  </w:style>
  <w:style w:type="character" w:customStyle="1" w:styleId="ListLabel350">
    <w:name w:val="ListLabel 350"/>
    <w:qFormat/>
    <w:rPr>
      <w:rFonts w:cs="Symbol"/>
    </w:rPr>
  </w:style>
  <w:style w:type="character" w:customStyle="1" w:styleId="ListLabel351">
    <w:name w:val="ListLabel 351"/>
    <w:qFormat/>
    <w:rPr>
      <w:rFonts w:cs="Symbol"/>
    </w:rPr>
  </w:style>
  <w:style w:type="character" w:customStyle="1" w:styleId="ListLabel352">
    <w:name w:val="ListLabel 352"/>
    <w:qFormat/>
    <w:rPr>
      <w:rFonts w:cs="Symbol"/>
    </w:rPr>
  </w:style>
  <w:style w:type="character" w:customStyle="1" w:styleId="ListLabel353">
    <w:name w:val="ListLabel 353"/>
    <w:qFormat/>
    <w:rPr>
      <w:rFonts w:cs="Times New Roman"/>
    </w:rPr>
  </w:style>
  <w:style w:type="character" w:customStyle="1" w:styleId="ListLabel354">
    <w:name w:val="ListLabel 354"/>
    <w:qFormat/>
    <w:rPr>
      <w:rFonts w:cs="Times New Roman"/>
    </w:rPr>
  </w:style>
  <w:style w:type="character" w:customStyle="1" w:styleId="ListLabel355">
    <w:name w:val="ListLabel 355"/>
    <w:qFormat/>
    <w:rPr>
      <w:rFonts w:cs="Times New Roman"/>
    </w:rPr>
  </w:style>
  <w:style w:type="character" w:customStyle="1" w:styleId="ListLabel356">
    <w:name w:val="ListLabel 356"/>
    <w:qFormat/>
    <w:rPr>
      <w:rFonts w:cs="Symbol"/>
    </w:rPr>
  </w:style>
  <w:style w:type="character" w:customStyle="1" w:styleId="ListLabel357">
    <w:name w:val="ListLabel 357"/>
    <w:qFormat/>
    <w:rPr>
      <w:rFonts w:cs="Symbol"/>
    </w:rPr>
  </w:style>
  <w:style w:type="character" w:customStyle="1" w:styleId="ListLabel358">
    <w:name w:val="ListLabel 358"/>
    <w:qFormat/>
    <w:rPr>
      <w:rFonts w:cs="Symbol"/>
    </w:rPr>
  </w:style>
  <w:style w:type="character" w:customStyle="1" w:styleId="ListLabel359">
    <w:name w:val="ListLabel 359"/>
    <w:qFormat/>
    <w:rPr>
      <w:rFonts w:cs="Symbol"/>
    </w:rPr>
  </w:style>
  <w:style w:type="character" w:customStyle="1" w:styleId="ListLabel360">
    <w:name w:val="ListLabel 360"/>
    <w:qFormat/>
    <w:rPr>
      <w:rFonts w:cs="Symbol"/>
    </w:rPr>
  </w:style>
  <w:style w:type="character" w:customStyle="1" w:styleId="ListLabel361">
    <w:name w:val="ListLabel 361"/>
    <w:qFormat/>
    <w:rPr>
      <w:rFonts w:cs="Symbol"/>
    </w:rPr>
  </w:style>
  <w:style w:type="character" w:customStyle="1" w:styleId="ListLabel362">
    <w:name w:val="ListLabel 362"/>
    <w:qFormat/>
    <w:rPr>
      <w:rFonts w:cs="Times New Roman"/>
    </w:rPr>
  </w:style>
  <w:style w:type="character" w:customStyle="1" w:styleId="ListLabel363">
    <w:name w:val="ListLabel 363"/>
    <w:qFormat/>
    <w:rPr>
      <w:rFonts w:cs="Times New Roman"/>
    </w:rPr>
  </w:style>
  <w:style w:type="character" w:customStyle="1" w:styleId="ListLabel364">
    <w:name w:val="ListLabel 364"/>
    <w:qFormat/>
    <w:rPr>
      <w:rFonts w:cs="Times New Roman"/>
    </w:rPr>
  </w:style>
  <w:style w:type="character" w:customStyle="1" w:styleId="ListLabel365">
    <w:name w:val="ListLabel 365"/>
    <w:qFormat/>
    <w:rPr>
      <w:rFonts w:cs="Symbol"/>
    </w:rPr>
  </w:style>
  <w:style w:type="character" w:customStyle="1" w:styleId="ListLabel366">
    <w:name w:val="ListLabel 366"/>
    <w:qFormat/>
    <w:rPr>
      <w:rFonts w:cs="Symbol"/>
    </w:rPr>
  </w:style>
  <w:style w:type="character" w:customStyle="1" w:styleId="ListLabel367">
    <w:name w:val="ListLabel 367"/>
    <w:qFormat/>
    <w:rPr>
      <w:rFonts w:cs="Symbol"/>
    </w:rPr>
  </w:style>
  <w:style w:type="character" w:customStyle="1" w:styleId="ListLabel368">
    <w:name w:val="ListLabel 368"/>
    <w:qFormat/>
    <w:rPr>
      <w:rFonts w:cs="Symbol"/>
    </w:rPr>
  </w:style>
  <w:style w:type="character" w:customStyle="1" w:styleId="ListLabel369">
    <w:name w:val="ListLabel 369"/>
    <w:qFormat/>
    <w:rPr>
      <w:rFonts w:cs="Symbol"/>
    </w:rPr>
  </w:style>
  <w:style w:type="character" w:customStyle="1" w:styleId="ListLabel370">
    <w:name w:val="ListLabel 370"/>
    <w:qFormat/>
    <w:rPr>
      <w:rFonts w:cs="Symbol"/>
    </w:rPr>
  </w:style>
  <w:style w:type="paragraph" w:customStyle="1" w:styleId="Heading">
    <w:name w:val="Heading"/>
    <w:basedOn w:val="Normln"/>
    <w:next w:val="Zkladntext"/>
    <w:qFormat/>
    <w:pPr>
      <w:keepNext/>
      <w:spacing w:before="240" w:after="120"/>
    </w:pPr>
    <w:rPr>
      <w:rFonts w:ascii="Liberation Sans" w:eastAsia="Microsoft YaHei" w:hAnsi="Liberation Sans"/>
      <w:sz w:val="28"/>
      <w:szCs w:val="28"/>
    </w:rPr>
  </w:style>
  <w:style w:type="paragraph" w:styleId="Zkladntext">
    <w:name w:val="Body Text"/>
    <w:basedOn w:val="Normln"/>
    <w:link w:val="ZkladntextChar"/>
    <w:uiPriority w:val="99"/>
    <w:rsid w:val="00107778"/>
    <w:pPr>
      <w:spacing w:after="140" w:line="288" w:lineRule="auto"/>
    </w:pPr>
  </w:style>
  <w:style w:type="paragraph" w:styleId="Seznam">
    <w:name w:val="List"/>
    <w:basedOn w:val="Zkladntext"/>
    <w:uiPriority w:val="99"/>
    <w:rsid w:val="00107778"/>
  </w:style>
  <w:style w:type="paragraph" w:styleId="Titulek">
    <w:name w:val="caption"/>
    <w:basedOn w:val="Normln"/>
    <w:uiPriority w:val="99"/>
    <w:qFormat/>
    <w:rsid w:val="00107778"/>
    <w:pPr>
      <w:suppressLineNumbers/>
      <w:spacing w:before="120" w:after="120"/>
    </w:pPr>
    <w:rPr>
      <w:i/>
      <w:iCs/>
    </w:rPr>
  </w:style>
  <w:style w:type="paragraph" w:customStyle="1" w:styleId="Index">
    <w:name w:val="Index"/>
    <w:basedOn w:val="Normln"/>
    <w:qFormat/>
    <w:pPr>
      <w:suppressLineNumbers/>
    </w:pPr>
  </w:style>
  <w:style w:type="paragraph" w:customStyle="1" w:styleId="Nadpis">
    <w:name w:val="Nadpis"/>
    <w:basedOn w:val="Normln"/>
    <w:uiPriority w:val="99"/>
    <w:qFormat/>
    <w:rsid w:val="00107778"/>
    <w:pPr>
      <w:keepNext/>
      <w:spacing w:before="240" w:after="120"/>
    </w:pPr>
    <w:rPr>
      <w:rFonts w:ascii="Liberation Sans" w:eastAsia="Microsoft YaHei" w:hAnsi="Liberation Sans"/>
      <w:sz w:val="28"/>
      <w:szCs w:val="28"/>
    </w:rPr>
  </w:style>
  <w:style w:type="paragraph" w:customStyle="1" w:styleId="Rejstk">
    <w:name w:val="Rejstřík"/>
    <w:basedOn w:val="Normln"/>
    <w:uiPriority w:val="99"/>
    <w:qFormat/>
    <w:rsid w:val="00107778"/>
    <w:pPr>
      <w:suppressLineNumbers/>
    </w:pPr>
  </w:style>
  <w:style w:type="paragraph" w:customStyle="1" w:styleId="Default">
    <w:name w:val="Default"/>
    <w:uiPriority w:val="99"/>
    <w:qFormat/>
    <w:rsid w:val="00107778"/>
    <w:pPr>
      <w:widowControl w:val="0"/>
      <w:suppressAutoHyphens/>
    </w:pPr>
    <w:rPr>
      <w:rFonts w:ascii="Times New Roman" w:hAnsi="Times New Roman"/>
      <w:color w:val="000000"/>
      <w:sz w:val="24"/>
      <w:szCs w:val="24"/>
      <w:lang w:val="sk-SK" w:eastAsia="zh-CN" w:bidi="hi-IN"/>
    </w:rPr>
  </w:style>
  <w:style w:type="paragraph" w:styleId="Zpat">
    <w:name w:val="footer"/>
    <w:basedOn w:val="Normln"/>
    <w:link w:val="ZpatChar"/>
    <w:uiPriority w:val="99"/>
    <w:rsid w:val="00107778"/>
  </w:style>
  <w:style w:type="paragraph" w:customStyle="1" w:styleId="clanek">
    <w:name w:val="clanek"/>
    <w:basedOn w:val="Normln"/>
    <w:next w:val="Normln"/>
    <w:uiPriority w:val="99"/>
    <w:qFormat/>
    <w:rsid w:val="00107778"/>
    <w:pPr>
      <w:keepNext/>
      <w:spacing w:before="397" w:after="283"/>
      <w:jc w:val="center"/>
    </w:pPr>
    <w:rPr>
      <w:rFonts w:ascii="Times New Roman" w:hAnsi="Times New Roman"/>
      <w:b/>
    </w:rPr>
  </w:style>
  <w:style w:type="paragraph" w:customStyle="1" w:styleId="Seznam-seln0">
    <w:name w:val="Seznam - číselný (0)"/>
    <w:basedOn w:val="Normln"/>
    <w:uiPriority w:val="99"/>
    <w:qFormat/>
    <w:rsid w:val="00107778"/>
    <w:pPr>
      <w:widowControl w:val="0"/>
      <w:spacing w:after="120" w:line="276" w:lineRule="auto"/>
      <w:jc w:val="both"/>
      <w:textAlignment w:val="baseline"/>
    </w:pPr>
    <w:rPr>
      <w:rFonts w:ascii="Times New Roman" w:hAnsi="Times New Roman" w:cs="Times New Roman"/>
    </w:rPr>
  </w:style>
  <w:style w:type="paragraph" w:styleId="Textpoznpodarou">
    <w:name w:val="footnote text"/>
    <w:basedOn w:val="Normln"/>
    <w:link w:val="TextpoznpodarouChar"/>
  </w:style>
  <w:style w:type="paragraph" w:customStyle="1" w:styleId="nazev">
    <w:name w:val="nazev"/>
    <w:basedOn w:val="Normln"/>
    <w:uiPriority w:val="99"/>
    <w:qFormat/>
    <w:rsid w:val="00107778"/>
    <w:pPr>
      <w:spacing w:after="170"/>
      <w:jc w:val="center"/>
    </w:pPr>
    <w:rPr>
      <w:rFonts w:ascii="Times New Roman" w:hAnsi="Times New Roman" w:cs="Times New Roman"/>
      <w:b/>
      <w:sz w:val="32"/>
      <w:szCs w:val="32"/>
      <w:lang w:val="cs-CZ"/>
    </w:rPr>
  </w:style>
  <w:style w:type="paragraph" w:styleId="Textkomente">
    <w:name w:val="annotation text"/>
    <w:basedOn w:val="Normln"/>
    <w:link w:val="TextkomenteChar"/>
    <w:uiPriority w:val="99"/>
    <w:semiHidden/>
    <w:qFormat/>
    <w:rsid w:val="00107778"/>
    <w:rPr>
      <w:sz w:val="20"/>
      <w:szCs w:val="18"/>
    </w:rPr>
  </w:style>
  <w:style w:type="paragraph" w:styleId="Textbubliny">
    <w:name w:val="Balloon Text"/>
    <w:basedOn w:val="Normln"/>
    <w:link w:val="TextbublinyChar"/>
    <w:uiPriority w:val="99"/>
    <w:semiHidden/>
    <w:qFormat/>
    <w:rsid w:val="00B934A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12</Pages>
  <Words>3945</Words>
  <Characters>23281</Characters>
  <Application>Microsoft Office Word</Application>
  <DocSecurity>0</DocSecurity>
  <Lines>194</Lines>
  <Paragraphs>54</Paragraphs>
  <ScaleCrop>false</ScaleCrop>
  <Company>Hewlett-Packard Company</Company>
  <LinksUpToDate>false</LinksUpToDate>
  <CharactersWithSpaces>27172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ORGANIZACI STUDIA</dc:title>
  <dc:subject/>
  <dc:creator>Peter Korcsok</dc:creator>
  <dc:description/>
  <cp:lastModifiedBy>Zdeněk Drozd</cp:lastModifiedBy>
  <cp:revision>10</cp:revision>
  <dcterms:created xsi:type="dcterms:W3CDTF">2017-06-12T21:42:00Z</dcterms:created>
  <dcterms:modified xsi:type="dcterms:W3CDTF">2017-09-19T09:06:00Z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